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2D9F8" w14:textId="77777777" w:rsidR="00C71349" w:rsidRDefault="00C2337F" w:rsidP="008C100C">
      <w:pPr>
        <w:pStyle w:val="Header"/>
      </w:pPr>
      <w:r>
        <w:rPr>
          <w:noProof/>
        </w:rPr>
        <w:drawing>
          <wp:inline distT="0" distB="0" distL="0" distR="0" wp14:anchorId="7261AC8D" wp14:editId="28258EAA">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6220E37F" w14:textId="72476488" w:rsidR="007D5D9B" w:rsidRPr="007D5D9B" w:rsidRDefault="007D5D9B" w:rsidP="007D5D9B">
      <w:pPr>
        <w:pStyle w:val="Title"/>
      </w:pPr>
      <w:r w:rsidRPr="007D5D9B">
        <w:t>TAXII</w:t>
      </w:r>
      <w:r w:rsidR="00A372C7">
        <w:t>™</w:t>
      </w:r>
      <w:r w:rsidRPr="007D5D9B">
        <w:t xml:space="preserve"> </w:t>
      </w:r>
      <w:r w:rsidR="00975C4D">
        <w:t>Version 1.1.1.</w:t>
      </w:r>
      <w:r w:rsidRPr="007D5D9B">
        <w:t xml:space="preserve"> Part 1: Overview</w:t>
      </w:r>
    </w:p>
    <w:p w14:paraId="22C46843" w14:textId="76552A5D" w:rsidR="00E4299F" w:rsidRDefault="00B03FBA" w:rsidP="008C100C">
      <w:pPr>
        <w:pStyle w:val="Subtitle"/>
      </w:pPr>
      <w:r>
        <w:t xml:space="preserve">Committee Specification </w:t>
      </w:r>
      <w:r w:rsidR="007D5D9B">
        <w:t>01</w:t>
      </w:r>
      <w:r w:rsidR="00A452A1">
        <w:t xml:space="preserve"> </w:t>
      </w:r>
    </w:p>
    <w:p w14:paraId="63E0A61C" w14:textId="1052FFBC" w:rsidR="00286EC7" w:rsidRDefault="007D5D9B" w:rsidP="008C100C">
      <w:pPr>
        <w:pStyle w:val="Subtitle"/>
      </w:pPr>
      <w:r>
        <w:t>0</w:t>
      </w:r>
      <w:r w:rsidR="00A372C7">
        <w:t>5 May 2016</w:t>
      </w:r>
    </w:p>
    <w:p w14:paraId="3C515CDC"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186431DA" w14:textId="77777777" w:rsidR="00D54431" w:rsidRDefault="003B0E37" w:rsidP="00D54431">
      <w:pPr>
        <w:pStyle w:val="Titlepageinfo"/>
      </w:pPr>
      <w:r>
        <w:t xml:space="preserve">This </w:t>
      </w:r>
      <w:r w:rsidR="00C5515D">
        <w:t>v</w:t>
      </w:r>
      <w:r>
        <w:t>ersion</w:t>
      </w:r>
      <w:r w:rsidR="00D54431">
        <w:t>:</w:t>
      </w:r>
    </w:p>
    <w:p w14:paraId="56D92813" w14:textId="3654431B" w:rsidR="00D54431" w:rsidRPr="003707E2" w:rsidRDefault="00D42177" w:rsidP="00D54431">
      <w:pPr>
        <w:pStyle w:val="Titlepageinfodescription"/>
        <w:rPr>
          <w:rStyle w:val="Hyperlink"/>
          <w:color w:val="auto"/>
        </w:rPr>
      </w:pPr>
      <w:hyperlink r:id="rId11" w:history="1">
        <w:r w:rsidR="00842B2B" w:rsidRPr="0055751C">
          <w:rPr>
            <w:rStyle w:val="Hyperlink"/>
          </w:rPr>
          <w:t>http://docs.oasis-open.org/cti/taxii/v1.1.1/cs01/part1-overview/taxii-v1.1.1-cs01-part1-overview.docx</w:t>
        </w:r>
      </w:hyperlink>
      <w:r w:rsidR="00842B2B">
        <w:t xml:space="preserve"> </w:t>
      </w:r>
      <w:r w:rsidR="002659E9">
        <w:rPr>
          <w:rStyle w:val="Hyperlink"/>
          <w:color w:val="auto"/>
        </w:rPr>
        <w:t>(Authoritative)</w:t>
      </w:r>
    </w:p>
    <w:p w14:paraId="63E33D5D" w14:textId="599F2D49" w:rsidR="00FC06F0" w:rsidRDefault="00D42177" w:rsidP="00CF629C">
      <w:pPr>
        <w:pStyle w:val="Titlepageinfodescription"/>
        <w:rPr>
          <w:rStyle w:val="Hyperlink"/>
          <w:color w:val="auto"/>
        </w:rPr>
      </w:pPr>
      <w:hyperlink r:id="rId12" w:history="1">
        <w:r w:rsidR="00842B2B" w:rsidRPr="0055751C">
          <w:rPr>
            <w:rStyle w:val="Hyperlink"/>
          </w:rPr>
          <w:t>http://docs.oasis-open.org/cti/taxii/v1.1.1/cs01/part1-overview/taxii-v1.1.1-cs01-part1-overview.html</w:t>
        </w:r>
      </w:hyperlink>
    </w:p>
    <w:p w14:paraId="1FB5F82C" w14:textId="4A99387D" w:rsidR="00CF629C" w:rsidRPr="00FC06F0" w:rsidRDefault="00D42177" w:rsidP="00CF629C">
      <w:pPr>
        <w:pStyle w:val="Titlepageinfodescription"/>
        <w:rPr>
          <w:rStyle w:val="Hyperlink"/>
          <w:color w:val="auto"/>
        </w:rPr>
      </w:pPr>
      <w:hyperlink r:id="rId13" w:history="1">
        <w:r w:rsidR="00842B2B" w:rsidRPr="0055751C">
          <w:rPr>
            <w:rStyle w:val="Hyperlink"/>
          </w:rPr>
          <w:t>http://docs.oasis-open.org/cti/taxii/v1.1.1/cs01/part1-overview/taxii-v1.1.1-cs01-part1-overview.pdf</w:t>
        </w:r>
      </w:hyperlink>
    </w:p>
    <w:p w14:paraId="22FE6C3B" w14:textId="77777777" w:rsidR="003B0E37" w:rsidRDefault="003B0E37" w:rsidP="003B0E37">
      <w:pPr>
        <w:pStyle w:val="Titlepageinfo"/>
      </w:pPr>
      <w:r>
        <w:t xml:space="preserve">Previous </w:t>
      </w:r>
      <w:r w:rsidR="00C5515D">
        <w:t>v</w:t>
      </w:r>
      <w:r>
        <w:t>ersion:</w:t>
      </w:r>
    </w:p>
    <w:p w14:paraId="723F5DCD" w14:textId="77777777" w:rsidR="007D4DEA" w:rsidRPr="003707E2" w:rsidRDefault="00D42177" w:rsidP="007D4DEA">
      <w:pPr>
        <w:pStyle w:val="Titlepageinfodescription"/>
        <w:rPr>
          <w:rStyle w:val="Hyperlink"/>
          <w:color w:val="auto"/>
        </w:rPr>
      </w:pPr>
      <w:hyperlink r:id="rId14" w:history="1">
        <w:r w:rsidR="007D4DEA" w:rsidRPr="002F4626">
          <w:rPr>
            <w:rStyle w:val="Hyperlink"/>
          </w:rPr>
          <w:t>http://docs.oasis-open.org/cti/taxii/v1.1.1/csprd01/part1-overview/taxii-v1.1.1-csprd01-part1-overview.docx</w:t>
        </w:r>
      </w:hyperlink>
      <w:r w:rsidR="007D4DEA">
        <w:t xml:space="preserve"> </w:t>
      </w:r>
      <w:r w:rsidR="007D4DEA">
        <w:rPr>
          <w:rStyle w:val="Hyperlink"/>
          <w:color w:val="auto"/>
        </w:rPr>
        <w:t>(Authoritative)</w:t>
      </w:r>
    </w:p>
    <w:p w14:paraId="03FE6B93" w14:textId="77777777" w:rsidR="007D4DEA" w:rsidRDefault="00D42177" w:rsidP="007D4DEA">
      <w:pPr>
        <w:pStyle w:val="Titlepageinfodescription"/>
        <w:rPr>
          <w:rStyle w:val="Hyperlink"/>
          <w:color w:val="auto"/>
        </w:rPr>
      </w:pPr>
      <w:hyperlink r:id="rId15" w:history="1">
        <w:r w:rsidR="007D4DEA" w:rsidRPr="002F4626">
          <w:rPr>
            <w:rStyle w:val="Hyperlink"/>
          </w:rPr>
          <w:t>http://docs.oasis-open.org/cti/taxii/v1.1.1/csprd01/part1-overview/taxii-v1.1.1-csprd01-part1-overview.html</w:t>
        </w:r>
      </w:hyperlink>
    </w:p>
    <w:p w14:paraId="5271A1AB" w14:textId="77777777" w:rsidR="007D4DEA" w:rsidRPr="00FC06F0" w:rsidRDefault="00D42177" w:rsidP="007D4DEA">
      <w:pPr>
        <w:pStyle w:val="Titlepageinfodescription"/>
        <w:rPr>
          <w:rStyle w:val="Hyperlink"/>
          <w:color w:val="auto"/>
        </w:rPr>
      </w:pPr>
      <w:hyperlink r:id="rId16" w:history="1">
        <w:r w:rsidR="007D4DEA" w:rsidRPr="002F4626">
          <w:rPr>
            <w:rStyle w:val="Hyperlink"/>
          </w:rPr>
          <w:t>http://docs.oasis-open.org/cti/taxii/v1.1.1/csprd01/part1-overview/taxii-v1.1.1-csprd01-part1-overview.pdf</w:t>
        </w:r>
      </w:hyperlink>
    </w:p>
    <w:p w14:paraId="4D4A6A35" w14:textId="77777777" w:rsidR="003B0E37" w:rsidRDefault="003B0E37" w:rsidP="003B0E37">
      <w:pPr>
        <w:pStyle w:val="Titlepageinfo"/>
      </w:pPr>
      <w:r>
        <w:t xml:space="preserve">Latest </w:t>
      </w:r>
      <w:r w:rsidR="00C5515D">
        <w:t>v</w:t>
      </w:r>
      <w:r>
        <w:t>ersion:</w:t>
      </w:r>
    </w:p>
    <w:p w14:paraId="3AD9454D" w14:textId="3507D19F" w:rsidR="00FC06F0" w:rsidRPr="003707E2" w:rsidRDefault="00D42177" w:rsidP="00FC06F0">
      <w:pPr>
        <w:pStyle w:val="Titlepageinfodescription"/>
        <w:rPr>
          <w:rStyle w:val="Hyperlink"/>
          <w:color w:val="auto"/>
        </w:rPr>
      </w:pPr>
      <w:hyperlink r:id="rId17" w:history="1">
        <w:r w:rsidR="00BD64F0">
          <w:rPr>
            <w:rStyle w:val="Hyperlink"/>
          </w:rPr>
          <w:t>http://docs.oasis-open.org/cti/taxii/v1.1.1/taxii-v1.1.1-part1-overview.docx</w:t>
        </w:r>
      </w:hyperlink>
      <w:r w:rsidR="00FC06F0">
        <w:rPr>
          <w:rStyle w:val="Hyperlink"/>
          <w:color w:val="auto"/>
        </w:rPr>
        <w:t xml:space="preserve"> (Authoritative)</w:t>
      </w:r>
    </w:p>
    <w:p w14:paraId="3C4470D7" w14:textId="16687A7F" w:rsidR="00FC06F0" w:rsidRDefault="00D42177" w:rsidP="00FC06F0">
      <w:pPr>
        <w:pStyle w:val="Titlepageinfodescription"/>
        <w:rPr>
          <w:rStyle w:val="Hyperlink"/>
          <w:color w:val="auto"/>
        </w:rPr>
      </w:pPr>
      <w:hyperlink r:id="rId18" w:history="1">
        <w:r w:rsidR="003006BE">
          <w:rPr>
            <w:rStyle w:val="Hyperlink"/>
          </w:rPr>
          <w:t>http://docs.oasis-open.org/cti/taxii/v1.1.1/taxii-v1.1.1-part1-overview.html</w:t>
        </w:r>
      </w:hyperlink>
    </w:p>
    <w:p w14:paraId="28A9C817" w14:textId="7E3795DC" w:rsidR="00FC06F0" w:rsidRPr="00FC06F0" w:rsidRDefault="00D42177" w:rsidP="00FC06F0">
      <w:pPr>
        <w:pStyle w:val="Titlepageinfodescription"/>
        <w:rPr>
          <w:rStyle w:val="Hyperlink"/>
          <w:color w:val="auto"/>
        </w:rPr>
      </w:pPr>
      <w:hyperlink r:id="rId19" w:history="1">
        <w:r w:rsidR="003006BE">
          <w:rPr>
            <w:rStyle w:val="Hyperlink"/>
          </w:rPr>
          <w:t>http://docs.oasis-open.org/cti/taxii/v1.1.1/taxii-v1.1.1-part1-overview.pdf</w:t>
        </w:r>
      </w:hyperlink>
    </w:p>
    <w:p w14:paraId="146DE7FC" w14:textId="77777777" w:rsidR="00024C43" w:rsidRDefault="00024C43" w:rsidP="008C100C">
      <w:pPr>
        <w:pStyle w:val="Titlepageinfo"/>
      </w:pPr>
      <w:r>
        <w:t>Technical Committee:</w:t>
      </w:r>
    </w:p>
    <w:p w14:paraId="070D096C" w14:textId="4D3E277E" w:rsidR="00BA1811" w:rsidRPr="00BA1811" w:rsidRDefault="00D42177" w:rsidP="00BA1811">
      <w:pPr>
        <w:pStyle w:val="Titlepageinfodescription"/>
      </w:pPr>
      <w:hyperlink r:id="rId20" w:history="1">
        <w:r w:rsidR="00BA1811" w:rsidRPr="00BA1811">
          <w:rPr>
            <w:rStyle w:val="Hyperlink"/>
          </w:rPr>
          <w:t>OASIS Cyber Threat Intelligence (CTI) TC</w:t>
        </w:r>
      </w:hyperlink>
    </w:p>
    <w:p w14:paraId="01EAC5F5" w14:textId="4DE51C9E" w:rsidR="009C7DCE" w:rsidRDefault="00BA1811" w:rsidP="008C100C">
      <w:pPr>
        <w:pStyle w:val="Titlepageinfo"/>
      </w:pPr>
      <w:r>
        <w:t>Chair</w:t>
      </w:r>
      <w:r w:rsidR="009C7DCE">
        <w:t>:</w:t>
      </w:r>
    </w:p>
    <w:p w14:paraId="32AF7775" w14:textId="4CA85B02" w:rsidR="00BA1811" w:rsidRPr="00BA1811" w:rsidRDefault="00BA1811" w:rsidP="00BA1811">
      <w:pPr>
        <w:pStyle w:val="Contributor"/>
      </w:pPr>
      <w:r>
        <w:t>Richard Struse</w:t>
      </w:r>
      <w:r w:rsidR="00B809FD">
        <w:t xml:space="preserve"> (</w:t>
      </w:r>
      <w:hyperlink r:id="rId21" w:history="1">
        <w:r>
          <w:rPr>
            <w:rStyle w:val="Hyperlink"/>
          </w:rPr>
          <w:t>Richard.Struse@hq.dhs.gov</w:t>
        </w:r>
      </w:hyperlink>
      <w:r w:rsidR="00B809FD">
        <w:t>),</w:t>
      </w:r>
      <w:r>
        <w:t xml:space="preserve"> </w:t>
      </w:r>
      <w:hyperlink r:id="rId22" w:history="1">
        <w:r w:rsidRPr="003E3540">
          <w:rPr>
            <w:rStyle w:val="Hyperlink"/>
          </w:rPr>
          <w:t>DHS Office of Cybersecurity and Communications (CS&amp;C)</w:t>
        </w:r>
      </w:hyperlink>
    </w:p>
    <w:p w14:paraId="195B3C8D" w14:textId="77777777" w:rsidR="007816D7" w:rsidRDefault="00DC2EB1" w:rsidP="008C100C">
      <w:pPr>
        <w:pStyle w:val="Titlepageinfo"/>
      </w:pPr>
      <w:r>
        <w:t>Editors</w:t>
      </w:r>
      <w:r w:rsidR="007816D7">
        <w:t>:</w:t>
      </w:r>
    </w:p>
    <w:p w14:paraId="55FA84FB" w14:textId="77777777" w:rsidR="006A21F6" w:rsidRPr="006A21F6" w:rsidRDefault="006A21F6" w:rsidP="006A21F6">
      <w:pPr>
        <w:pStyle w:val="Contributor"/>
      </w:pPr>
      <w:r w:rsidRPr="006A21F6">
        <w:t>Mark Davidson (</w:t>
      </w:r>
      <w:hyperlink r:id="rId23" w:history="1">
        <w:r w:rsidRPr="006A21F6">
          <w:rPr>
            <w:rStyle w:val="Hyperlink"/>
          </w:rPr>
          <w:t>mdavidson@mitre.org</w:t>
        </w:r>
      </w:hyperlink>
      <w:r w:rsidRPr="006A21F6">
        <w:t xml:space="preserve">), </w:t>
      </w:r>
      <w:hyperlink r:id="rId24" w:history="1">
        <w:r w:rsidRPr="006A21F6">
          <w:rPr>
            <w:rStyle w:val="Hyperlink"/>
          </w:rPr>
          <w:t>MITRE Corporation</w:t>
        </w:r>
      </w:hyperlink>
    </w:p>
    <w:p w14:paraId="06CC84BA" w14:textId="77777777" w:rsidR="006A21F6" w:rsidRPr="006A21F6" w:rsidRDefault="006A21F6" w:rsidP="006A21F6">
      <w:pPr>
        <w:pStyle w:val="Contributor"/>
      </w:pPr>
      <w:r w:rsidRPr="006A21F6">
        <w:t>Charles Schmidt (</w:t>
      </w:r>
      <w:hyperlink r:id="rId25" w:history="1">
        <w:r w:rsidRPr="006A21F6">
          <w:rPr>
            <w:rStyle w:val="Hyperlink"/>
          </w:rPr>
          <w:t>cmschmidt@mitre.org</w:t>
        </w:r>
      </w:hyperlink>
      <w:r w:rsidRPr="006A21F6">
        <w:t xml:space="preserve">), </w:t>
      </w:r>
      <w:hyperlink r:id="rId26" w:history="1">
        <w:r w:rsidRPr="006A21F6">
          <w:rPr>
            <w:rStyle w:val="Hyperlink"/>
          </w:rPr>
          <w:t>MITRE Corporation</w:t>
        </w:r>
      </w:hyperlink>
      <w:r w:rsidRPr="006A21F6">
        <w:t xml:space="preserve"> </w:t>
      </w:r>
    </w:p>
    <w:p w14:paraId="3EE44366" w14:textId="6F0C8A7D" w:rsidR="006A21F6" w:rsidRDefault="006A21F6" w:rsidP="006A21F6">
      <w:pPr>
        <w:pStyle w:val="Contributor"/>
      </w:pPr>
      <w:r w:rsidRPr="006A21F6">
        <w:t>Bret Jordan (</w:t>
      </w:r>
      <w:hyperlink r:id="rId27" w:history="1">
        <w:r w:rsidRPr="006A21F6">
          <w:rPr>
            <w:rStyle w:val="Hyperlink"/>
          </w:rPr>
          <w:t>bret.jordan@bluecoat.com</w:t>
        </w:r>
      </w:hyperlink>
      <w:r w:rsidRPr="006A21F6">
        <w:t xml:space="preserve">), </w:t>
      </w:r>
      <w:hyperlink r:id="rId28" w:history="1">
        <w:r w:rsidRPr="006A21F6">
          <w:rPr>
            <w:rStyle w:val="Hyperlink"/>
          </w:rPr>
          <w:t>Blue Coat Systems, Inc.</w:t>
        </w:r>
      </w:hyperlink>
    </w:p>
    <w:p w14:paraId="71FB6512" w14:textId="77777777" w:rsidR="00560795" w:rsidRDefault="00D00DF9" w:rsidP="003B0E37">
      <w:pPr>
        <w:pStyle w:val="Titlepageinfo"/>
      </w:pPr>
      <w:r>
        <w:t>Additional</w:t>
      </w:r>
      <w:r w:rsidR="00560795">
        <w:t xml:space="preserve"> artifacts:</w:t>
      </w:r>
    </w:p>
    <w:p w14:paraId="546155E1"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0BFDE0D8" w14:textId="4A3C6E2B" w:rsidR="00BA0B6E" w:rsidRDefault="00BA0B6E" w:rsidP="00BA0B6E">
      <w:pPr>
        <w:pStyle w:val="RelatedWork"/>
      </w:pPr>
      <w:r w:rsidRPr="00BA0B6E">
        <w:rPr>
          <w:i/>
        </w:rPr>
        <w:t xml:space="preserve">TAXII </w:t>
      </w:r>
      <w:r w:rsidR="00975C4D">
        <w:rPr>
          <w:i/>
        </w:rPr>
        <w:t>Version 1.1.1.</w:t>
      </w:r>
      <w:r w:rsidRPr="00BA0B6E">
        <w:rPr>
          <w:i/>
        </w:rPr>
        <w:t xml:space="preserve"> Part 1: Overview</w:t>
      </w:r>
      <w:r>
        <w:t xml:space="preserve"> (this document). </w:t>
      </w:r>
      <w:hyperlink r:id="rId29" w:history="1">
        <w:r w:rsidR="00E54D16" w:rsidRPr="0055751C">
          <w:rPr>
            <w:rStyle w:val="Hyperlink"/>
          </w:rPr>
          <w:t>http://docs.oasis-open.org/cti/taxii/v1.1.1/cs01/part1-overview/taxii-v1.1.1-cs01-part1-overview.html</w:t>
        </w:r>
      </w:hyperlink>
    </w:p>
    <w:p w14:paraId="25A78354" w14:textId="0B5B49B5" w:rsidR="00BA0B6E" w:rsidRDefault="00BA0B6E" w:rsidP="00BA0B6E">
      <w:pPr>
        <w:pStyle w:val="RelatedWork"/>
      </w:pPr>
      <w:r w:rsidRPr="00BA0B6E">
        <w:rPr>
          <w:i/>
        </w:rPr>
        <w:t xml:space="preserve">TAXII </w:t>
      </w:r>
      <w:r w:rsidR="00975C4D">
        <w:rPr>
          <w:i/>
        </w:rPr>
        <w:t>Version 1.1.1.</w:t>
      </w:r>
      <w:r w:rsidRPr="00BA0B6E">
        <w:rPr>
          <w:i/>
        </w:rPr>
        <w:t xml:space="preserve"> Part 2: Services</w:t>
      </w:r>
      <w:r>
        <w:t xml:space="preserve">. </w:t>
      </w:r>
      <w:hyperlink r:id="rId30" w:history="1">
        <w:r w:rsidR="00E54D16" w:rsidRPr="0055751C">
          <w:rPr>
            <w:rStyle w:val="Hyperlink"/>
          </w:rPr>
          <w:t>http://docs.oasis-open.org/cti/taxii/v1.1.1/cs01/part2-services/taxii-v1.1.1-cs01-part2-services.html</w:t>
        </w:r>
      </w:hyperlink>
    </w:p>
    <w:p w14:paraId="26660496" w14:textId="48274F50" w:rsidR="00BA0B6E" w:rsidRDefault="00BA0B6E" w:rsidP="00BA0B6E">
      <w:pPr>
        <w:pStyle w:val="RelatedWork"/>
      </w:pPr>
      <w:r w:rsidRPr="00BA0B6E">
        <w:rPr>
          <w:i/>
        </w:rPr>
        <w:t xml:space="preserve">TAXII </w:t>
      </w:r>
      <w:r w:rsidR="00975C4D">
        <w:rPr>
          <w:i/>
        </w:rPr>
        <w:t>Version 1.1.1.</w:t>
      </w:r>
      <w:r w:rsidRPr="00BA0B6E">
        <w:rPr>
          <w:i/>
        </w:rPr>
        <w:t xml:space="preserve"> Part 3: HTTP Protocol Binding</w:t>
      </w:r>
      <w:r>
        <w:t xml:space="preserve">. </w:t>
      </w:r>
      <w:hyperlink r:id="rId31" w:history="1">
        <w:r w:rsidR="00E54D16" w:rsidRPr="0055751C">
          <w:rPr>
            <w:rStyle w:val="Hyperlink"/>
          </w:rPr>
          <w:t>http://docs.oasis-open.org/cti/taxii/v1.1.1/cs01/part3-http/taxii-v1.1.1-cs01-part3-http.html</w:t>
        </w:r>
      </w:hyperlink>
    </w:p>
    <w:p w14:paraId="32CAA484" w14:textId="271A907F" w:rsidR="00BA0B6E" w:rsidRDefault="00BA0B6E" w:rsidP="00BA0B6E">
      <w:pPr>
        <w:pStyle w:val="RelatedWork"/>
      </w:pPr>
      <w:r w:rsidRPr="00BA0B6E">
        <w:rPr>
          <w:i/>
        </w:rPr>
        <w:t xml:space="preserve">TAXII </w:t>
      </w:r>
      <w:r w:rsidR="00975C4D">
        <w:rPr>
          <w:i/>
        </w:rPr>
        <w:t>Version 1.1.1.</w:t>
      </w:r>
      <w:r w:rsidRPr="00BA0B6E">
        <w:rPr>
          <w:i/>
        </w:rPr>
        <w:t xml:space="preserve"> Part 4: XML Message Binding</w:t>
      </w:r>
      <w:r>
        <w:t xml:space="preserve">. </w:t>
      </w:r>
      <w:hyperlink r:id="rId32" w:history="1">
        <w:r w:rsidR="00E54D16" w:rsidRPr="0055751C">
          <w:rPr>
            <w:rStyle w:val="Hyperlink"/>
          </w:rPr>
          <w:t>http://docs.oasis-open.org/cti/taxii/v1.1.1/cs01/part4-xml/taxii-v1.1.1-cs01-part4-xml.html</w:t>
        </w:r>
      </w:hyperlink>
    </w:p>
    <w:p w14:paraId="2316345F" w14:textId="41262936" w:rsidR="00BA0B6E" w:rsidRDefault="00BA0B6E" w:rsidP="00BA0B6E">
      <w:pPr>
        <w:pStyle w:val="RelatedWork"/>
      </w:pPr>
      <w:r w:rsidRPr="00BA0B6E">
        <w:rPr>
          <w:i/>
        </w:rPr>
        <w:t xml:space="preserve">TAXII </w:t>
      </w:r>
      <w:r w:rsidR="00975C4D">
        <w:rPr>
          <w:i/>
        </w:rPr>
        <w:t>Version 1.1.1.</w:t>
      </w:r>
      <w:r w:rsidRPr="00BA0B6E">
        <w:rPr>
          <w:i/>
        </w:rPr>
        <w:t xml:space="preserve"> Part 5: Default Query</w:t>
      </w:r>
      <w:r>
        <w:t xml:space="preserve">. </w:t>
      </w:r>
      <w:hyperlink r:id="rId33" w:history="1">
        <w:r w:rsidR="00E54D16" w:rsidRPr="0055751C">
          <w:rPr>
            <w:rStyle w:val="Hyperlink"/>
          </w:rPr>
          <w:t>http://docs.oasis-open.org/cti/taxii/v1.1.1/cs01/part5-query/taxii-v1.1.1-cs01-part5-query.html</w:t>
        </w:r>
      </w:hyperlink>
    </w:p>
    <w:p w14:paraId="352879C5" w14:textId="7007C49F" w:rsidR="00BA0B6E" w:rsidRDefault="00BA0B6E" w:rsidP="00BA0B6E">
      <w:pPr>
        <w:pStyle w:val="RelatedWork"/>
      </w:pPr>
      <w:r>
        <w:t xml:space="preserve">XML schemas: </w:t>
      </w:r>
      <w:hyperlink r:id="rId34" w:history="1">
        <w:r w:rsidR="00E54D16" w:rsidRPr="0055751C">
          <w:rPr>
            <w:rStyle w:val="Hyperlink"/>
          </w:rPr>
          <w:t>http://docs.oasis-open.org/cti/taxii/v1.1.1/cs01/schemas/</w:t>
        </w:r>
      </w:hyperlink>
    </w:p>
    <w:p w14:paraId="2A017C95" w14:textId="77777777" w:rsidR="00D00DF9" w:rsidRDefault="00D00DF9" w:rsidP="00D00DF9">
      <w:pPr>
        <w:pStyle w:val="Titlepageinfo"/>
      </w:pPr>
      <w:r>
        <w:lastRenderedPageBreak/>
        <w:t>Related work:</w:t>
      </w:r>
    </w:p>
    <w:p w14:paraId="16152C09" w14:textId="77777777" w:rsidR="00D00DF9" w:rsidRPr="004C4D7C" w:rsidRDefault="00D00DF9" w:rsidP="00D00DF9">
      <w:pPr>
        <w:pStyle w:val="Titlepageinfodescription"/>
      </w:pPr>
      <w:r>
        <w:t xml:space="preserve">This </w:t>
      </w:r>
      <w:r w:rsidR="00494EE0">
        <w:t>specification</w:t>
      </w:r>
      <w:r>
        <w:t xml:space="preserve"> replaces or supersedes:</w:t>
      </w:r>
    </w:p>
    <w:p w14:paraId="7B637B37" w14:textId="28F39E46" w:rsidR="00CE7FA6" w:rsidRDefault="00CE7FA6" w:rsidP="00CE7FA6">
      <w:pPr>
        <w:pStyle w:val="RelatedWork"/>
      </w:pPr>
      <w:r w:rsidRPr="00CE7FA6">
        <w:rPr>
          <w:i/>
        </w:rPr>
        <w:t>TAXII Overview Version 1.1</w:t>
      </w:r>
      <w:r w:rsidRPr="00CE7FA6">
        <w:t xml:space="preserve">. </w:t>
      </w:r>
      <w:hyperlink r:id="rId35" w:history="1">
        <w:r w:rsidR="00975C4D">
          <w:rPr>
            <w:rStyle w:val="Hyperlink"/>
          </w:rPr>
          <w:t>http://taxiiproject.github.io/releases/1.1/TAXII_Overview.pdf</w:t>
        </w:r>
      </w:hyperlink>
      <w:r w:rsidRPr="00CE7FA6">
        <w:t>.</w:t>
      </w:r>
    </w:p>
    <w:p w14:paraId="101A6E1E" w14:textId="77777777" w:rsidR="00980139" w:rsidRPr="00980139" w:rsidRDefault="00980139" w:rsidP="00980139">
      <w:pPr>
        <w:pStyle w:val="Titlepageinfodescription"/>
      </w:pPr>
      <w:r w:rsidRPr="00980139">
        <w:t>This specification is related to:</w:t>
      </w:r>
    </w:p>
    <w:p w14:paraId="60FF27C6" w14:textId="28B42E8D" w:rsidR="00980139" w:rsidRDefault="00980139" w:rsidP="00980139">
      <w:pPr>
        <w:pStyle w:val="RelatedWork"/>
        <w:rPr>
          <w:i/>
        </w:rPr>
      </w:pPr>
      <w:r w:rsidRPr="00980139">
        <w:rPr>
          <w:i/>
        </w:rPr>
        <w:t xml:space="preserve">TAXII Content Binding Reference. </w:t>
      </w:r>
    </w:p>
    <w:p w14:paraId="22116347" w14:textId="4A49B57A" w:rsidR="00980139" w:rsidRPr="00CE7FA6" w:rsidRDefault="00D42177" w:rsidP="00E60396">
      <w:pPr>
        <w:pStyle w:val="RelatedWork"/>
        <w:numPr>
          <w:ilvl w:val="0"/>
          <w:numId w:val="0"/>
        </w:numPr>
        <w:ind w:left="1080"/>
      </w:pPr>
      <w:hyperlink r:id="rId36" w:history="1">
        <w:r w:rsidR="00980139" w:rsidRPr="00980139">
          <w:rPr>
            <w:rStyle w:val="Hyperlink"/>
          </w:rPr>
          <w:t>http://taxiiproject.github.io/releases/1.1/TAXII_ContentBinding_Reference_v3.pdf</w:t>
        </w:r>
      </w:hyperlink>
    </w:p>
    <w:p w14:paraId="5C1EEF88" w14:textId="77777777" w:rsidR="00547E3B" w:rsidRDefault="00547E3B" w:rsidP="00547E3B">
      <w:pPr>
        <w:pStyle w:val="Titlepageinfo"/>
      </w:pPr>
      <w:r>
        <w:t>Declared XML namespaces:</w:t>
      </w:r>
    </w:p>
    <w:p w14:paraId="29D82301" w14:textId="720FC255" w:rsidR="00547E3B" w:rsidRDefault="00D42177" w:rsidP="00547E3B">
      <w:pPr>
        <w:pStyle w:val="RelatedWork"/>
      </w:pPr>
      <w:hyperlink r:id="rId37" w:history="1">
        <w:r w:rsidR="00E668E4" w:rsidRPr="00AF6E44">
          <w:rPr>
            <w:rStyle w:val="Hyperlink"/>
          </w:rPr>
          <w:t>http://docs.oasis-open.org/cti/ns/taxii/xml/binding-1.1.1</w:t>
        </w:r>
      </w:hyperlink>
    </w:p>
    <w:p w14:paraId="619F3A00" w14:textId="50ECA830" w:rsidR="00081671" w:rsidRDefault="00D42177" w:rsidP="00547E3B">
      <w:pPr>
        <w:pStyle w:val="RelatedWork"/>
      </w:pPr>
      <w:hyperlink r:id="rId38" w:history="1">
        <w:r w:rsidR="00081671" w:rsidRPr="00AF6E44">
          <w:rPr>
            <w:rStyle w:val="Hyperlink"/>
          </w:rPr>
          <w:t>http://docs.oasis-open.org/cti/ns/taxii/default-query-1.1.1</w:t>
        </w:r>
      </w:hyperlink>
    </w:p>
    <w:p w14:paraId="63C394BC" w14:textId="77777777" w:rsidR="009C7DCE" w:rsidRDefault="009C7DCE" w:rsidP="008C100C">
      <w:pPr>
        <w:pStyle w:val="Titlepageinfo"/>
      </w:pPr>
      <w:r>
        <w:t>Abstract:</w:t>
      </w:r>
    </w:p>
    <w:p w14:paraId="0217B688" w14:textId="77777777" w:rsidR="00BF1E87" w:rsidRDefault="00BF1E87" w:rsidP="00BF1E87">
      <w:pPr>
        <w:pStyle w:val="Abstract"/>
      </w:pPr>
      <w:r>
        <w:t>This document provides an overview of TAXII.</w:t>
      </w:r>
    </w:p>
    <w:p w14:paraId="360682FF" w14:textId="77777777" w:rsidR="009C7DCE" w:rsidRDefault="009C7DCE" w:rsidP="008C100C">
      <w:pPr>
        <w:pStyle w:val="Titlepageinfo"/>
      </w:pPr>
      <w:r>
        <w:t>Status:</w:t>
      </w:r>
    </w:p>
    <w:p w14:paraId="32DC5258" w14:textId="5026BA52" w:rsidR="009C7DCE" w:rsidRDefault="006F2371" w:rsidP="008C100C">
      <w:pPr>
        <w:pStyle w:val="Abstract"/>
      </w:pPr>
      <w:r>
        <w:t xml:space="preserve">This </w:t>
      </w:r>
      <w:r w:rsidR="00FC3563">
        <w:t>document</w:t>
      </w:r>
      <w:r>
        <w:t xml:space="preserve"> was last revised or approved by the</w:t>
      </w:r>
      <w:r w:rsidR="00BF1E87">
        <w:t xml:space="preserve"> OASIS Cyber Threat Intelligence (CTI) TC</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9" w:anchor="technical" w:history="1">
        <w:r w:rsidR="001E2285">
          <w:rPr>
            <w:rStyle w:val="Hyperlink"/>
          </w:rPr>
          <w:t>https://www.oasis-open.org/committees/tc_home.php?wg_abbrev=cti#technical</w:t>
        </w:r>
      </w:hyperlink>
      <w:r w:rsidR="00316300">
        <w:t>.</w:t>
      </w:r>
    </w:p>
    <w:p w14:paraId="494FCE6A" w14:textId="5D1BCD71"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40" w:history="1">
        <w:r w:rsidR="00B569DB" w:rsidRPr="0007308D">
          <w:rPr>
            <w:rStyle w:val="Hyperlink"/>
          </w:rPr>
          <w:t>Send A Comment</w:t>
        </w:r>
      </w:hyperlink>
      <w:r w:rsidR="00B569DB">
        <w:t xml:space="preserve">” button on the </w:t>
      </w:r>
      <w:r>
        <w:t>TC</w:t>
      </w:r>
      <w:r w:rsidR="00B569DB">
        <w:t xml:space="preserve">’s web page at </w:t>
      </w:r>
      <w:hyperlink r:id="rId41" w:history="1">
        <w:r w:rsidR="001A5119">
          <w:rPr>
            <w:rStyle w:val="Hyperlink"/>
          </w:rPr>
          <w:t>https://www.oasis-open.org/committees/cti/</w:t>
        </w:r>
      </w:hyperlink>
      <w:r w:rsidR="00B569DB" w:rsidRPr="008A31C5">
        <w:rPr>
          <w:rStyle w:val="Hyperlink"/>
          <w:color w:val="000000"/>
        </w:rPr>
        <w:t>.</w:t>
      </w:r>
    </w:p>
    <w:p w14:paraId="15AE872F" w14:textId="0AD86C79"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w:t>
      </w:r>
      <w:r w:rsidR="002F10B8">
        <w:t>C’s</w:t>
      </w:r>
      <w:r w:rsidRPr="00B569DB">
        <w:t xml:space="preserve"> web page (</w:t>
      </w:r>
      <w:hyperlink r:id="rId42" w:history="1">
        <w:r w:rsidR="00D57EB8">
          <w:rPr>
            <w:rStyle w:val="Hyperlink"/>
          </w:rPr>
          <w:t>https://www.oasis-open.org/committees/cti/ipr.php</w:t>
        </w:r>
      </w:hyperlink>
      <w:r w:rsidR="00D861BB" w:rsidRPr="008A31C5">
        <w:rPr>
          <w:rStyle w:val="Hyperlink"/>
          <w:color w:val="000000"/>
        </w:rPr>
        <w:t>)</w:t>
      </w:r>
      <w:r w:rsidR="001C782B" w:rsidRPr="008A31C5">
        <w:rPr>
          <w:rStyle w:val="Hyperlink"/>
          <w:color w:val="000000"/>
        </w:rPr>
        <w:t>.</w:t>
      </w:r>
    </w:p>
    <w:p w14:paraId="6384E546" w14:textId="77777777" w:rsidR="000449B0" w:rsidRDefault="000449B0" w:rsidP="000449B0">
      <w:pPr>
        <w:pStyle w:val="Titlepageinfo"/>
      </w:pPr>
      <w:r>
        <w:t xml:space="preserve">Citation </w:t>
      </w:r>
      <w:r w:rsidR="001F51AB">
        <w:t>f</w:t>
      </w:r>
      <w:r>
        <w:t>ormat:</w:t>
      </w:r>
    </w:p>
    <w:p w14:paraId="7C5C880A"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04DBF121" w14:textId="250B9C27" w:rsidR="00995E1B" w:rsidRDefault="00560795" w:rsidP="00AC0AAD">
      <w:pPr>
        <w:pStyle w:val="Abstract"/>
      </w:pPr>
      <w:r>
        <w:rPr>
          <w:rStyle w:val="Refterm"/>
        </w:rPr>
        <w:t>[</w:t>
      </w:r>
      <w:r w:rsidR="00961771">
        <w:rPr>
          <w:rStyle w:val="Refterm"/>
        </w:rPr>
        <w:t>TAXII-</w:t>
      </w:r>
      <w:r w:rsidR="00975C4D">
        <w:rPr>
          <w:rStyle w:val="Refterm"/>
        </w:rPr>
        <w:t>v1.1.1-</w:t>
      </w:r>
      <w:r w:rsidR="00961771">
        <w:rPr>
          <w:rStyle w:val="Refterm"/>
        </w:rPr>
        <w:t>Overview</w:t>
      </w:r>
      <w:r>
        <w:rPr>
          <w:rStyle w:val="Refterm"/>
        </w:rPr>
        <w:t>]</w:t>
      </w:r>
    </w:p>
    <w:p w14:paraId="324BE234" w14:textId="3D949BFD" w:rsidR="000449B0" w:rsidRPr="00C56579" w:rsidRDefault="00B0634A" w:rsidP="00C56579">
      <w:pPr>
        <w:pStyle w:val="Abstract"/>
        <w:rPr>
          <w:rFonts w:cs="Arial"/>
        </w:rPr>
      </w:pPr>
      <w:r w:rsidRPr="00B0634A">
        <w:rPr>
          <w:i/>
        </w:rPr>
        <w:t>TAXII</w:t>
      </w:r>
      <w:r w:rsidR="0070505C">
        <w:rPr>
          <w:i/>
        </w:rPr>
        <w:t>™</w:t>
      </w:r>
      <w:r w:rsidRPr="00B0634A">
        <w:rPr>
          <w:i/>
        </w:rPr>
        <w:t xml:space="preserve"> </w:t>
      </w:r>
      <w:r w:rsidR="00975C4D">
        <w:rPr>
          <w:i/>
        </w:rPr>
        <w:t>Version 1.1.1.</w:t>
      </w:r>
      <w:r w:rsidRPr="00B0634A">
        <w:rPr>
          <w:i/>
        </w:rPr>
        <w:t xml:space="preserve"> Part 1: Overview</w:t>
      </w:r>
      <w:r w:rsidR="0088339A" w:rsidRPr="002A5CA9">
        <w:t xml:space="preserve">. </w:t>
      </w:r>
      <w:r w:rsidR="00982437">
        <w:rPr>
          <w:rFonts w:cs="Arial"/>
        </w:rPr>
        <w:t xml:space="preserve">Edited by </w:t>
      </w:r>
      <w:r w:rsidRPr="00B0634A">
        <w:rPr>
          <w:rFonts w:cs="Arial"/>
        </w:rPr>
        <w:t>Mark Davidson</w:t>
      </w:r>
      <w:r>
        <w:rPr>
          <w:rFonts w:cs="Arial"/>
        </w:rPr>
        <w:t xml:space="preserve">, Charles Schmidt, and </w:t>
      </w:r>
      <w:r w:rsidRPr="00B0634A">
        <w:rPr>
          <w:rFonts w:cs="Arial"/>
        </w:rPr>
        <w:t>Bret Jordan</w:t>
      </w:r>
      <w:r>
        <w:rPr>
          <w:rFonts w:cs="Arial"/>
        </w:rPr>
        <w:t>. 0</w:t>
      </w:r>
      <w:r w:rsidR="0070505C">
        <w:rPr>
          <w:rFonts w:cs="Arial"/>
        </w:rPr>
        <w:t>5 May 2016</w:t>
      </w:r>
      <w:r>
        <w:rPr>
          <w:rFonts w:cs="Arial"/>
        </w:rPr>
        <w:t xml:space="preserve">. OASIS Committee Specification 01. </w:t>
      </w:r>
      <w:hyperlink r:id="rId43" w:history="1">
        <w:r w:rsidR="00CD6223" w:rsidRPr="0055751C">
          <w:rPr>
            <w:rStyle w:val="Hyperlink"/>
          </w:rPr>
          <w:t>http://docs.oasis-open.org/cti/taxii/v1.1.1/cs01/part1-overview/taxii-v1.1.1-cs01-part1-overview.html</w:t>
        </w:r>
      </w:hyperlink>
      <w:r w:rsidR="00CD6223">
        <w:t xml:space="preserve">. </w:t>
      </w:r>
      <w:r w:rsidRPr="00B0634A">
        <w:rPr>
          <w:rStyle w:val="Hyperlink"/>
          <w:color w:val="auto"/>
        </w:rPr>
        <w:t>Latest version:</w:t>
      </w:r>
      <w:r>
        <w:rPr>
          <w:rStyle w:val="Hyperlink"/>
        </w:rPr>
        <w:t xml:space="preserve"> </w:t>
      </w:r>
      <w:hyperlink r:id="rId44" w:history="1">
        <w:r>
          <w:rPr>
            <w:rStyle w:val="Hyperlink"/>
          </w:rPr>
          <w:t>http://docs.oasis-open.org/cti/taxii/v1.1.1/taxii-v1.1.1-part1-overview.html</w:t>
        </w:r>
      </w:hyperlink>
      <w:r w:rsidR="00975C4D">
        <w:rPr>
          <w:rStyle w:val="Hyperlink"/>
        </w:rPr>
        <w:t>.</w:t>
      </w:r>
    </w:p>
    <w:p w14:paraId="2431BE95" w14:textId="77777777" w:rsidR="008677C6" w:rsidRDefault="007E3373" w:rsidP="008C100C">
      <w:pPr>
        <w:pStyle w:val="Notices"/>
      </w:pPr>
      <w:r>
        <w:lastRenderedPageBreak/>
        <w:t>Notices</w:t>
      </w:r>
    </w:p>
    <w:p w14:paraId="23691DDE" w14:textId="40A87E2F" w:rsidR="00852E10" w:rsidRPr="00852E10" w:rsidRDefault="008C7396" w:rsidP="00852E10">
      <w:r>
        <w:t>Copyright © OASIS</w:t>
      </w:r>
      <w:r w:rsidR="00CE59AF">
        <w:t xml:space="preserve"> Open</w:t>
      </w:r>
      <w:r>
        <w:t xml:space="preserve"> </w:t>
      </w:r>
      <w:r w:rsidR="00AE0702">
        <w:t>20</w:t>
      </w:r>
      <w:r w:rsidR="00A55556">
        <w:t>1</w:t>
      </w:r>
      <w:r w:rsidR="00E033C3">
        <w:t>6</w:t>
      </w:r>
      <w:r w:rsidR="00852E10" w:rsidRPr="00852E10">
        <w:t>. All Rights Reserved.</w:t>
      </w:r>
    </w:p>
    <w:p w14:paraId="12AB88EB"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5" w:history="1">
        <w:r w:rsidR="00591B31">
          <w:rPr>
            <w:rStyle w:val="Hyperlink"/>
          </w:rPr>
          <w:t>Policy</w:t>
        </w:r>
      </w:hyperlink>
      <w:r w:rsidR="00591B31">
        <w:t xml:space="preserve"> m</w:t>
      </w:r>
      <w:r w:rsidRPr="00852E10">
        <w:t>ay be found at the OASIS website.</w:t>
      </w:r>
    </w:p>
    <w:p w14:paraId="59B06CD9"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04C93A0" w14:textId="77777777" w:rsidR="00852E10" w:rsidRPr="00852E10" w:rsidRDefault="00852E10" w:rsidP="00852E10">
      <w:r w:rsidRPr="00852E10">
        <w:t>The limited permissions granted above are perpetual and will not be revoked by OASIS or its successors or assigns.</w:t>
      </w:r>
    </w:p>
    <w:p w14:paraId="74C8564F"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44A41833"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66412DF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6D8D944D"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B7F4EEC"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7" w:history="1">
        <w:r w:rsidR="002B261C">
          <w:rPr>
            <w:rStyle w:val="Hyperlink"/>
          </w:rPr>
          <w:t>https://www.oasis-open.org/policies-guidelines/trademark</w:t>
        </w:r>
      </w:hyperlink>
      <w:r w:rsidR="0060033A">
        <w:t xml:space="preserve"> for above guidance.</w:t>
      </w:r>
    </w:p>
    <w:p w14:paraId="1D6E984B" w14:textId="77777777" w:rsidR="00601EC9" w:rsidRDefault="00601EC9" w:rsidP="001D1D6C"/>
    <w:p w14:paraId="2507381F" w14:textId="0F8750B6" w:rsidR="00C62BCA" w:rsidRDefault="00601EC9" w:rsidP="008544DD">
      <w:r>
        <w:t>Portions copyright © Un</w:t>
      </w:r>
      <w:r w:rsidR="00E033C3">
        <w:t>ited States Government 2012-2016</w:t>
      </w:r>
      <w:r>
        <w:t>.  All Rights Reserved.</w:t>
      </w:r>
    </w:p>
    <w:p w14:paraId="36D538E8" w14:textId="09310A49" w:rsidR="00601EC9" w:rsidRPr="0060033A" w:rsidRDefault="00601EC9" w:rsidP="00C56579">
      <w:pPr>
        <w:spacing w:after="240"/>
      </w:pPr>
      <w:r>
        <w:t>STIX</w:t>
      </w:r>
      <w:r w:rsidR="0070505C">
        <w:t>™</w:t>
      </w:r>
      <w:r>
        <w:t>, TAXII</w:t>
      </w:r>
      <w:r w:rsidR="0070505C">
        <w:t>™</w:t>
      </w:r>
      <w:r>
        <w:t>, AND CybOX</w:t>
      </w:r>
      <w:r w:rsidR="0070505C">
        <w:t>™</w:t>
      </w:r>
      <w:r>
        <w:t xml:space="preserve">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0E03A4CE" w14:textId="77777777" w:rsidR="008677C6" w:rsidRDefault="00177DED" w:rsidP="008C100C">
      <w:pPr>
        <w:pStyle w:val="Notices"/>
      </w:pPr>
      <w:r>
        <w:lastRenderedPageBreak/>
        <w:t>Table of Contents</w:t>
      </w:r>
    </w:p>
    <w:p w14:paraId="4F413789" w14:textId="77777777" w:rsidR="003E15C9"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734052" w:history="1">
        <w:r w:rsidR="003E15C9" w:rsidRPr="00E450FC">
          <w:rPr>
            <w:rStyle w:val="Hyperlink"/>
            <w:noProof/>
          </w:rPr>
          <w:t>1</w:t>
        </w:r>
        <w:r w:rsidR="003E15C9">
          <w:rPr>
            <w:rFonts w:asciiTheme="minorHAnsi" w:eastAsiaTheme="minorEastAsia" w:hAnsiTheme="minorHAnsi" w:cstheme="minorBidi"/>
            <w:noProof/>
            <w:sz w:val="22"/>
            <w:szCs w:val="22"/>
          </w:rPr>
          <w:tab/>
        </w:r>
        <w:r w:rsidR="003E15C9" w:rsidRPr="00E450FC">
          <w:rPr>
            <w:rStyle w:val="Hyperlink"/>
            <w:noProof/>
          </w:rPr>
          <w:t>Introduction</w:t>
        </w:r>
        <w:r w:rsidR="003E15C9">
          <w:rPr>
            <w:noProof/>
            <w:webHidden/>
          </w:rPr>
          <w:tab/>
        </w:r>
        <w:r w:rsidR="003E15C9">
          <w:rPr>
            <w:noProof/>
            <w:webHidden/>
          </w:rPr>
          <w:fldChar w:fldCharType="begin"/>
        </w:r>
        <w:r w:rsidR="003E15C9">
          <w:rPr>
            <w:noProof/>
            <w:webHidden/>
          </w:rPr>
          <w:instrText xml:space="preserve"> PAGEREF _Toc450734052 \h </w:instrText>
        </w:r>
        <w:r w:rsidR="003E15C9">
          <w:rPr>
            <w:noProof/>
            <w:webHidden/>
          </w:rPr>
        </w:r>
        <w:r w:rsidR="003E15C9">
          <w:rPr>
            <w:noProof/>
            <w:webHidden/>
          </w:rPr>
          <w:fldChar w:fldCharType="separate"/>
        </w:r>
        <w:r w:rsidR="004D5914">
          <w:rPr>
            <w:noProof/>
            <w:webHidden/>
          </w:rPr>
          <w:t>6</w:t>
        </w:r>
        <w:r w:rsidR="003E15C9">
          <w:rPr>
            <w:noProof/>
            <w:webHidden/>
          </w:rPr>
          <w:fldChar w:fldCharType="end"/>
        </w:r>
      </w:hyperlink>
    </w:p>
    <w:p w14:paraId="13FC50D9"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53" w:history="1">
        <w:r w:rsidR="003E15C9" w:rsidRPr="00E450FC">
          <w:rPr>
            <w:rStyle w:val="Hyperlink"/>
            <w:noProof/>
          </w:rPr>
          <w:t>1.1 Scope</w:t>
        </w:r>
        <w:r w:rsidR="003E15C9">
          <w:rPr>
            <w:noProof/>
            <w:webHidden/>
          </w:rPr>
          <w:tab/>
        </w:r>
        <w:r w:rsidR="003E15C9">
          <w:rPr>
            <w:noProof/>
            <w:webHidden/>
          </w:rPr>
          <w:fldChar w:fldCharType="begin"/>
        </w:r>
        <w:r w:rsidR="003E15C9">
          <w:rPr>
            <w:noProof/>
            <w:webHidden/>
          </w:rPr>
          <w:instrText xml:space="preserve"> PAGEREF _Toc450734053 \h </w:instrText>
        </w:r>
        <w:r w:rsidR="003E15C9">
          <w:rPr>
            <w:noProof/>
            <w:webHidden/>
          </w:rPr>
        </w:r>
        <w:r w:rsidR="003E15C9">
          <w:rPr>
            <w:noProof/>
            <w:webHidden/>
          </w:rPr>
          <w:fldChar w:fldCharType="separate"/>
        </w:r>
        <w:r w:rsidR="004D5914">
          <w:rPr>
            <w:noProof/>
            <w:webHidden/>
          </w:rPr>
          <w:t>6</w:t>
        </w:r>
        <w:r w:rsidR="003E15C9">
          <w:rPr>
            <w:noProof/>
            <w:webHidden/>
          </w:rPr>
          <w:fldChar w:fldCharType="end"/>
        </w:r>
      </w:hyperlink>
    </w:p>
    <w:p w14:paraId="51B652A6"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54" w:history="1">
        <w:r w:rsidR="003E15C9" w:rsidRPr="00E450FC">
          <w:rPr>
            <w:rStyle w:val="Hyperlink"/>
            <w:noProof/>
          </w:rPr>
          <w:t>1.2 TAXII™ Documents</w:t>
        </w:r>
        <w:r w:rsidR="003E15C9">
          <w:rPr>
            <w:noProof/>
            <w:webHidden/>
          </w:rPr>
          <w:tab/>
        </w:r>
        <w:r w:rsidR="003E15C9">
          <w:rPr>
            <w:noProof/>
            <w:webHidden/>
          </w:rPr>
          <w:fldChar w:fldCharType="begin"/>
        </w:r>
        <w:r w:rsidR="003E15C9">
          <w:rPr>
            <w:noProof/>
            <w:webHidden/>
          </w:rPr>
          <w:instrText xml:space="preserve"> PAGEREF _Toc450734054 \h </w:instrText>
        </w:r>
        <w:r w:rsidR="003E15C9">
          <w:rPr>
            <w:noProof/>
            <w:webHidden/>
          </w:rPr>
        </w:r>
        <w:r w:rsidR="003E15C9">
          <w:rPr>
            <w:noProof/>
            <w:webHidden/>
          </w:rPr>
          <w:fldChar w:fldCharType="separate"/>
        </w:r>
        <w:r w:rsidR="004D5914">
          <w:rPr>
            <w:noProof/>
            <w:webHidden/>
          </w:rPr>
          <w:t>7</w:t>
        </w:r>
        <w:r w:rsidR="003E15C9">
          <w:rPr>
            <w:noProof/>
            <w:webHidden/>
          </w:rPr>
          <w:fldChar w:fldCharType="end"/>
        </w:r>
      </w:hyperlink>
    </w:p>
    <w:p w14:paraId="5A8D7E86" w14:textId="77777777" w:rsidR="003E15C9" w:rsidRDefault="00D42177">
      <w:pPr>
        <w:pStyle w:val="TOC3"/>
        <w:tabs>
          <w:tab w:val="right" w:leader="dot" w:pos="9350"/>
        </w:tabs>
        <w:rPr>
          <w:rFonts w:asciiTheme="minorHAnsi" w:eastAsiaTheme="minorEastAsia" w:hAnsiTheme="minorHAnsi" w:cstheme="minorBidi"/>
          <w:noProof/>
          <w:sz w:val="22"/>
          <w:szCs w:val="22"/>
        </w:rPr>
      </w:pPr>
      <w:hyperlink w:anchor="_Toc450734055" w:history="1">
        <w:r w:rsidR="003E15C9" w:rsidRPr="00E450FC">
          <w:rPr>
            <w:rStyle w:val="Hyperlink"/>
            <w:noProof/>
          </w:rPr>
          <w:t>1.2.1 Suggested Reading Order</w:t>
        </w:r>
        <w:r w:rsidR="003E15C9">
          <w:rPr>
            <w:noProof/>
            <w:webHidden/>
          </w:rPr>
          <w:tab/>
        </w:r>
        <w:r w:rsidR="003E15C9">
          <w:rPr>
            <w:noProof/>
            <w:webHidden/>
          </w:rPr>
          <w:fldChar w:fldCharType="begin"/>
        </w:r>
        <w:r w:rsidR="003E15C9">
          <w:rPr>
            <w:noProof/>
            <w:webHidden/>
          </w:rPr>
          <w:instrText xml:space="preserve"> PAGEREF _Toc450734055 \h </w:instrText>
        </w:r>
        <w:r w:rsidR="003E15C9">
          <w:rPr>
            <w:noProof/>
            <w:webHidden/>
          </w:rPr>
        </w:r>
        <w:r w:rsidR="003E15C9">
          <w:rPr>
            <w:noProof/>
            <w:webHidden/>
          </w:rPr>
          <w:fldChar w:fldCharType="separate"/>
        </w:r>
        <w:r w:rsidR="004D5914">
          <w:rPr>
            <w:noProof/>
            <w:webHidden/>
          </w:rPr>
          <w:t>9</w:t>
        </w:r>
        <w:r w:rsidR="003E15C9">
          <w:rPr>
            <w:noProof/>
            <w:webHidden/>
          </w:rPr>
          <w:fldChar w:fldCharType="end"/>
        </w:r>
      </w:hyperlink>
    </w:p>
    <w:p w14:paraId="013BBAD1"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56" w:history="1">
        <w:r w:rsidR="003E15C9" w:rsidRPr="00E450FC">
          <w:rPr>
            <w:rStyle w:val="Hyperlink"/>
            <w:noProof/>
          </w:rPr>
          <w:t>1.3 Specification Versioning</w:t>
        </w:r>
        <w:r w:rsidR="003E15C9">
          <w:rPr>
            <w:noProof/>
            <w:webHidden/>
          </w:rPr>
          <w:tab/>
        </w:r>
        <w:r w:rsidR="003E15C9">
          <w:rPr>
            <w:noProof/>
            <w:webHidden/>
          </w:rPr>
          <w:fldChar w:fldCharType="begin"/>
        </w:r>
        <w:r w:rsidR="003E15C9">
          <w:rPr>
            <w:noProof/>
            <w:webHidden/>
          </w:rPr>
          <w:instrText xml:space="preserve"> PAGEREF _Toc450734056 \h </w:instrText>
        </w:r>
        <w:r w:rsidR="003E15C9">
          <w:rPr>
            <w:noProof/>
            <w:webHidden/>
          </w:rPr>
        </w:r>
        <w:r w:rsidR="003E15C9">
          <w:rPr>
            <w:noProof/>
            <w:webHidden/>
          </w:rPr>
          <w:fldChar w:fldCharType="separate"/>
        </w:r>
        <w:r w:rsidR="004D5914">
          <w:rPr>
            <w:noProof/>
            <w:webHidden/>
          </w:rPr>
          <w:t>9</w:t>
        </w:r>
        <w:r w:rsidR="003E15C9">
          <w:rPr>
            <w:noProof/>
            <w:webHidden/>
          </w:rPr>
          <w:fldChar w:fldCharType="end"/>
        </w:r>
      </w:hyperlink>
    </w:p>
    <w:p w14:paraId="6B7A991F"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57" w:history="1">
        <w:r w:rsidR="003E15C9" w:rsidRPr="00E450FC">
          <w:rPr>
            <w:rStyle w:val="Hyperlink"/>
            <w:noProof/>
          </w:rPr>
          <w:t>1.4 Terms and Definitions</w:t>
        </w:r>
        <w:r w:rsidR="003E15C9">
          <w:rPr>
            <w:noProof/>
            <w:webHidden/>
          </w:rPr>
          <w:tab/>
        </w:r>
        <w:r w:rsidR="003E15C9">
          <w:rPr>
            <w:noProof/>
            <w:webHidden/>
          </w:rPr>
          <w:fldChar w:fldCharType="begin"/>
        </w:r>
        <w:r w:rsidR="003E15C9">
          <w:rPr>
            <w:noProof/>
            <w:webHidden/>
          </w:rPr>
          <w:instrText xml:space="preserve"> PAGEREF _Toc450734057 \h </w:instrText>
        </w:r>
        <w:r w:rsidR="003E15C9">
          <w:rPr>
            <w:noProof/>
            <w:webHidden/>
          </w:rPr>
        </w:r>
        <w:r w:rsidR="003E15C9">
          <w:rPr>
            <w:noProof/>
            <w:webHidden/>
          </w:rPr>
          <w:fldChar w:fldCharType="separate"/>
        </w:r>
        <w:r w:rsidR="004D5914">
          <w:rPr>
            <w:noProof/>
            <w:webHidden/>
          </w:rPr>
          <w:t>9</w:t>
        </w:r>
        <w:r w:rsidR="003E15C9">
          <w:rPr>
            <w:noProof/>
            <w:webHidden/>
          </w:rPr>
          <w:fldChar w:fldCharType="end"/>
        </w:r>
      </w:hyperlink>
    </w:p>
    <w:p w14:paraId="5951391E" w14:textId="77777777" w:rsidR="003E15C9" w:rsidRDefault="00D42177">
      <w:pPr>
        <w:pStyle w:val="TOC3"/>
        <w:tabs>
          <w:tab w:val="right" w:leader="dot" w:pos="9350"/>
        </w:tabs>
        <w:rPr>
          <w:rFonts w:asciiTheme="minorHAnsi" w:eastAsiaTheme="minorEastAsia" w:hAnsiTheme="minorHAnsi" w:cstheme="minorBidi"/>
          <w:noProof/>
          <w:sz w:val="22"/>
          <w:szCs w:val="22"/>
        </w:rPr>
      </w:pPr>
      <w:hyperlink w:anchor="_Toc450734058" w:history="1">
        <w:r w:rsidR="003E15C9" w:rsidRPr="00E450FC">
          <w:rPr>
            <w:rStyle w:val="Hyperlink"/>
            <w:noProof/>
          </w:rPr>
          <w:t>1.4.1 TAXII™ Roles</w:t>
        </w:r>
        <w:r w:rsidR="003E15C9">
          <w:rPr>
            <w:noProof/>
            <w:webHidden/>
          </w:rPr>
          <w:tab/>
        </w:r>
        <w:r w:rsidR="003E15C9">
          <w:rPr>
            <w:noProof/>
            <w:webHidden/>
          </w:rPr>
          <w:fldChar w:fldCharType="begin"/>
        </w:r>
        <w:r w:rsidR="003E15C9">
          <w:rPr>
            <w:noProof/>
            <w:webHidden/>
          </w:rPr>
          <w:instrText xml:space="preserve"> PAGEREF _Toc450734058 \h </w:instrText>
        </w:r>
        <w:r w:rsidR="003E15C9">
          <w:rPr>
            <w:noProof/>
            <w:webHidden/>
          </w:rPr>
        </w:r>
        <w:r w:rsidR="003E15C9">
          <w:rPr>
            <w:noProof/>
            <w:webHidden/>
          </w:rPr>
          <w:fldChar w:fldCharType="separate"/>
        </w:r>
        <w:r w:rsidR="004D5914">
          <w:rPr>
            <w:noProof/>
            <w:webHidden/>
          </w:rPr>
          <w:t>9</w:t>
        </w:r>
        <w:r w:rsidR="003E15C9">
          <w:rPr>
            <w:noProof/>
            <w:webHidden/>
          </w:rPr>
          <w:fldChar w:fldCharType="end"/>
        </w:r>
      </w:hyperlink>
    </w:p>
    <w:p w14:paraId="1C0906D9" w14:textId="77777777" w:rsidR="003E15C9" w:rsidRDefault="00D42177">
      <w:pPr>
        <w:pStyle w:val="TOC3"/>
        <w:tabs>
          <w:tab w:val="right" w:leader="dot" w:pos="9350"/>
        </w:tabs>
        <w:rPr>
          <w:rFonts w:asciiTheme="minorHAnsi" w:eastAsiaTheme="minorEastAsia" w:hAnsiTheme="minorHAnsi" w:cstheme="minorBidi"/>
          <w:noProof/>
          <w:sz w:val="22"/>
          <w:szCs w:val="22"/>
        </w:rPr>
      </w:pPr>
      <w:hyperlink w:anchor="_Toc450734059" w:history="1">
        <w:r w:rsidR="003E15C9" w:rsidRPr="00E450FC">
          <w:rPr>
            <w:rStyle w:val="Hyperlink"/>
            <w:noProof/>
          </w:rPr>
          <w:t>1.4.2 TAXII™ Functional Units</w:t>
        </w:r>
        <w:r w:rsidR="003E15C9">
          <w:rPr>
            <w:noProof/>
            <w:webHidden/>
          </w:rPr>
          <w:tab/>
        </w:r>
        <w:r w:rsidR="003E15C9">
          <w:rPr>
            <w:noProof/>
            <w:webHidden/>
          </w:rPr>
          <w:fldChar w:fldCharType="begin"/>
        </w:r>
        <w:r w:rsidR="003E15C9">
          <w:rPr>
            <w:noProof/>
            <w:webHidden/>
          </w:rPr>
          <w:instrText xml:space="preserve"> PAGEREF _Toc450734059 \h </w:instrText>
        </w:r>
        <w:r w:rsidR="003E15C9">
          <w:rPr>
            <w:noProof/>
            <w:webHidden/>
          </w:rPr>
        </w:r>
        <w:r w:rsidR="003E15C9">
          <w:rPr>
            <w:noProof/>
            <w:webHidden/>
          </w:rPr>
          <w:fldChar w:fldCharType="separate"/>
        </w:r>
        <w:r w:rsidR="004D5914">
          <w:rPr>
            <w:noProof/>
            <w:webHidden/>
          </w:rPr>
          <w:t>9</w:t>
        </w:r>
        <w:r w:rsidR="003E15C9">
          <w:rPr>
            <w:noProof/>
            <w:webHidden/>
          </w:rPr>
          <w:fldChar w:fldCharType="end"/>
        </w:r>
      </w:hyperlink>
    </w:p>
    <w:p w14:paraId="2158693B" w14:textId="77777777" w:rsidR="003E15C9" w:rsidRDefault="00D42177">
      <w:pPr>
        <w:pStyle w:val="TOC1"/>
        <w:tabs>
          <w:tab w:val="left" w:pos="480"/>
          <w:tab w:val="right" w:leader="dot" w:pos="9350"/>
        </w:tabs>
        <w:rPr>
          <w:rFonts w:asciiTheme="minorHAnsi" w:eastAsiaTheme="minorEastAsia" w:hAnsiTheme="minorHAnsi" w:cstheme="minorBidi"/>
          <w:noProof/>
          <w:sz w:val="22"/>
          <w:szCs w:val="22"/>
        </w:rPr>
      </w:pPr>
      <w:hyperlink w:anchor="_Toc450734060" w:history="1">
        <w:r w:rsidR="003E15C9" w:rsidRPr="00E450FC">
          <w:rPr>
            <w:rStyle w:val="Hyperlink"/>
            <w:noProof/>
          </w:rPr>
          <w:t>2</w:t>
        </w:r>
        <w:r w:rsidR="003E15C9">
          <w:rPr>
            <w:rFonts w:asciiTheme="minorHAnsi" w:eastAsiaTheme="minorEastAsia" w:hAnsiTheme="minorHAnsi" w:cstheme="minorBidi"/>
            <w:noProof/>
            <w:sz w:val="22"/>
            <w:szCs w:val="22"/>
          </w:rPr>
          <w:tab/>
        </w:r>
        <w:r w:rsidR="003E15C9" w:rsidRPr="00E450FC">
          <w:rPr>
            <w:rStyle w:val="Hyperlink"/>
            <w:noProof/>
          </w:rPr>
          <w:t>TAXII</w:t>
        </w:r>
        <w:r w:rsidR="003E15C9" w:rsidRPr="00E450FC">
          <w:rPr>
            <w:rStyle w:val="Hyperlink"/>
            <w:noProof/>
            <w:vertAlign w:val="superscript"/>
          </w:rPr>
          <w:t>™</w:t>
        </w:r>
        <w:r w:rsidR="003E15C9" w:rsidRPr="00E450FC">
          <w:rPr>
            <w:rStyle w:val="Hyperlink"/>
            <w:noProof/>
          </w:rPr>
          <w:t xml:space="preserve"> Capabilities</w:t>
        </w:r>
        <w:r w:rsidR="003E15C9">
          <w:rPr>
            <w:noProof/>
            <w:webHidden/>
          </w:rPr>
          <w:tab/>
        </w:r>
        <w:r w:rsidR="003E15C9">
          <w:rPr>
            <w:noProof/>
            <w:webHidden/>
          </w:rPr>
          <w:fldChar w:fldCharType="begin"/>
        </w:r>
        <w:r w:rsidR="003E15C9">
          <w:rPr>
            <w:noProof/>
            <w:webHidden/>
          </w:rPr>
          <w:instrText xml:space="preserve"> PAGEREF _Toc450734060 \h </w:instrText>
        </w:r>
        <w:r w:rsidR="003E15C9">
          <w:rPr>
            <w:noProof/>
            <w:webHidden/>
          </w:rPr>
        </w:r>
        <w:r w:rsidR="003E15C9">
          <w:rPr>
            <w:noProof/>
            <w:webHidden/>
          </w:rPr>
          <w:fldChar w:fldCharType="separate"/>
        </w:r>
        <w:r w:rsidR="004D5914">
          <w:rPr>
            <w:noProof/>
            <w:webHidden/>
          </w:rPr>
          <w:t>11</w:t>
        </w:r>
        <w:r w:rsidR="003E15C9">
          <w:rPr>
            <w:noProof/>
            <w:webHidden/>
          </w:rPr>
          <w:fldChar w:fldCharType="end"/>
        </w:r>
      </w:hyperlink>
    </w:p>
    <w:p w14:paraId="57C9D154"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61" w:history="1">
        <w:r w:rsidR="003E15C9" w:rsidRPr="00E450FC">
          <w:rPr>
            <w:rStyle w:val="Hyperlink"/>
            <w:noProof/>
          </w:rPr>
          <w:t>2.1 Push Messaging</w:t>
        </w:r>
        <w:r w:rsidR="003E15C9">
          <w:rPr>
            <w:noProof/>
            <w:webHidden/>
          </w:rPr>
          <w:tab/>
        </w:r>
        <w:r w:rsidR="003E15C9">
          <w:rPr>
            <w:noProof/>
            <w:webHidden/>
          </w:rPr>
          <w:fldChar w:fldCharType="begin"/>
        </w:r>
        <w:r w:rsidR="003E15C9">
          <w:rPr>
            <w:noProof/>
            <w:webHidden/>
          </w:rPr>
          <w:instrText xml:space="preserve"> PAGEREF _Toc450734061 \h </w:instrText>
        </w:r>
        <w:r w:rsidR="003E15C9">
          <w:rPr>
            <w:noProof/>
            <w:webHidden/>
          </w:rPr>
        </w:r>
        <w:r w:rsidR="003E15C9">
          <w:rPr>
            <w:noProof/>
            <w:webHidden/>
          </w:rPr>
          <w:fldChar w:fldCharType="separate"/>
        </w:r>
        <w:r w:rsidR="004D5914">
          <w:rPr>
            <w:noProof/>
            <w:webHidden/>
          </w:rPr>
          <w:t>11</w:t>
        </w:r>
        <w:r w:rsidR="003E15C9">
          <w:rPr>
            <w:noProof/>
            <w:webHidden/>
          </w:rPr>
          <w:fldChar w:fldCharType="end"/>
        </w:r>
      </w:hyperlink>
    </w:p>
    <w:p w14:paraId="747055A2"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62" w:history="1">
        <w:r w:rsidR="003E15C9" w:rsidRPr="00E450FC">
          <w:rPr>
            <w:rStyle w:val="Hyperlink"/>
            <w:noProof/>
          </w:rPr>
          <w:t>2.2 Pull Messaging</w:t>
        </w:r>
        <w:r w:rsidR="003E15C9">
          <w:rPr>
            <w:noProof/>
            <w:webHidden/>
          </w:rPr>
          <w:tab/>
        </w:r>
        <w:r w:rsidR="003E15C9">
          <w:rPr>
            <w:noProof/>
            <w:webHidden/>
          </w:rPr>
          <w:fldChar w:fldCharType="begin"/>
        </w:r>
        <w:r w:rsidR="003E15C9">
          <w:rPr>
            <w:noProof/>
            <w:webHidden/>
          </w:rPr>
          <w:instrText xml:space="preserve"> PAGEREF _Toc450734062 \h </w:instrText>
        </w:r>
        <w:r w:rsidR="003E15C9">
          <w:rPr>
            <w:noProof/>
            <w:webHidden/>
          </w:rPr>
        </w:r>
        <w:r w:rsidR="003E15C9">
          <w:rPr>
            <w:noProof/>
            <w:webHidden/>
          </w:rPr>
          <w:fldChar w:fldCharType="separate"/>
        </w:r>
        <w:r w:rsidR="004D5914">
          <w:rPr>
            <w:noProof/>
            <w:webHidden/>
          </w:rPr>
          <w:t>11</w:t>
        </w:r>
        <w:r w:rsidR="003E15C9">
          <w:rPr>
            <w:noProof/>
            <w:webHidden/>
          </w:rPr>
          <w:fldChar w:fldCharType="end"/>
        </w:r>
      </w:hyperlink>
    </w:p>
    <w:p w14:paraId="14922B0E"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63" w:history="1">
        <w:r w:rsidR="003E15C9" w:rsidRPr="00E450FC">
          <w:rPr>
            <w:rStyle w:val="Hyperlink"/>
            <w:noProof/>
          </w:rPr>
          <w:t>2.3 Discovery</w:t>
        </w:r>
        <w:r w:rsidR="003E15C9">
          <w:rPr>
            <w:noProof/>
            <w:webHidden/>
          </w:rPr>
          <w:tab/>
        </w:r>
        <w:r w:rsidR="003E15C9">
          <w:rPr>
            <w:noProof/>
            <w:webHidden/>
          </w:rPr>
          <w:fldChar w:fldCharType="begin"/>
        </w:r>
        <w:r w:rsidR="003E15C9">
          <w:rPr>
            <w:noProof/>
            <w:webHidden/>
          </w:rPr>
          <w:instrText xml:space="preserve"> PAGEREF _Toc450734063 \h </w:instrText>
        </w:r>
        <w:r w:rsidR="003E15C9">
          <w:rPr>
            <w:noProof/>
            <w:webHidden/>
          </w:rPr>
        </w:r>
        <w:r w:rsidR="003E15C9">
          <w:rPr>
            <w:noProof/>
            <w:webHidden/>
          </w:rPr>
          <w:fldChar w:fldCharType="separate"/>
        </w:r>
        <w:r w:rsidR="004D5914">
          <w:rPr>
            <w:noProof/>
            <w:webHidden/>
          </w:rPr>
          <w:t>11</w:t>
        </w:r>
        <w:r w:rsidR="003E15C9">
          <w:rPr>
            <w:noProof/>
            <w:webHidden/>
          </w:rPr>
          <w:fldChar w:fldCharType="end"/>
        </w:r>
      </w:hyperlink>
    </w:p>
    <w:p w14:paraId="468A6DA9" w14:textId="77777777" w:rsidR="003E15C9" w:rsidRDefault="00D42177">
      <w:pPr>
        <w:pStyle w:val="TOC2"/>
        <w:tabs>
          <w:tab w:val="right" w:leader="dot" w:pos="9350"/>
        </w:tabs>
        <w:rPr>
          <w:rFonts w:asciiTheme="minorHAnsi" w:eastAsiaTheme="minorEastAsia" w:hAnsiTheme="minorHAnsi" w:cstheme="minorBidi"/>
          <w:noProof/>
          <w:sz w:val="22"/>
          <w:szCs w:val="22"/>
        </w:rPr>
      </w:pPr>
      <w:hyperlink w:anchor="_Toc450734064" w:history="1">
        <w:r w:rsidR="003E15C9" w:rsidRPr="00E450FC">
          <w:rPr>
            <w:rStyle w:val="Hyperlink"/>
            <w:noProof/>
          </w:rPr>
          <w:t>2.4 Query</w:t>
        </w:r>
        <w:r w:rsidR="003E15C9">
          <w:rPr>
            <w:noProof/>
            <w:webHidden/>
          </w:rPr>
          <w:tab/>
        </w:r>
        <w:r w:rsidR="003E15C9">
          <w:rPr>
            <w:noProof/>
            <w:webHidden/>
          </w:rPr>
          <w:fldChar w:fldCharType="begin"/>
        </w:r>
        <w:r w:rsidR="003E15C9">
          <w:rPr>
            <w:noProof/>
            <w:webHidden/>
          </w:rPr>
          <w:instrText xml:space="preserve"> PAGEREF _Toc450734064 \h </w:instrText>
        </w:r>
        <w:r w:rsidR="003E15C9">
          <w:rPr>
            <w:noProof/>
            <w:webHidden/>
          </w:rPr>
        </w:r>
        <w:r w:rsidR="003E15C9">
          <w:rPr>
            <w:noProof/>
            <w:webHidden/>
          </w:rPr>
          <w:fldChar w:fldCharType="separate"/>
        </w:r>
        <w:r w:rsidR="004D5914">
          <w:rPr>
            <w:noProof/>
            <w:webHidden/>
          </w:rPr>
          <w:t>11</w:t>
        </w:r>
        <w:r w:rsidR="003E15C9">
          <w:rPr>
            <w:noProof/>
            <w:webHidden/>
          </w:rPr>
          <w:fldChar w:fldCharType="end"/>
        </w:r>
      </w:hyperlink>
    </w:p>
    <w:p w14:paraId="479DC15D" w14:textId="77777777" w:rsidR="003E15C9" w:rsidRDefault="00D42177">
      <w:pPr>
        <w:pStyle w:val="TOC1"/>
        <w:tabs>
          <w:tab w:val="left" w:pos="480"/>
          <w:tab w:val="right" w:leader="dot" w:pos="9350"/>
        </w:tabs>
        <w:rPr>
          <w:rFonts w:asciiTheme="minorHAnsi" w:eastAsiaTheme="minorEastAsia" w:hAnsiTheme="minorHAnsi" w:cstheme="minorBidi"/>
          <w:noProof/>
          <w:sz w:val="22"/>
          <w:szCs w:val="22"/>
        </w:rPr>
      </w:pPr>
      <w:hyperlink w:anchor="_Toc450734065" w:history="1">
        <w:r w:rsidR="003E15C9" w:rsidRPr="00E450FC">
          <w:rPr>
            <w:rStyle w:val="Hyperlink"/>
            <w:noProof/>
          </w:rPr>
          <w:t>3</w:t>
        </w:r>
        <w:r w:rsidR="003E15C9">
          <w:rPr>
            <w:rFonts w:asciiTheme="minorHAnsi" w:eastAsiaTheme="minorEastAsia" w:hAnsiTheme="minorHAnsi" w:cstheme="minorBidi"/>
            <w:noProof/>
            <w:sz w:val="22"/>
            <w:szCs w:val="22"/>
          </w:rPr>
          <w:tab/>
        </w:r>
        <w:r w:rsidR="003E15C9" w:rsidRPr="00E450FC">
          <w:rPr>
            <w:rStyle w:val="Hyperlink"/>
            <w:noProof/>
          </w:rPr>
          <w:t>Conformance</w:t>
        </w:r>
        <w:r w:rsidR="003E15C9">
          <w:rPr>
            <w:noProof/>
            <w:webHidden/>
          </w:rPr>
          <w:tab/>
        </w:r>
        <w:r w:rsidR="003E15C9">
          <w:rPr>
            <w:noProof/>
            <w:webHidden/>
          </w:rPr>
          <w:fldChar w:fldCharType="begin"/>
        </w:r>
        <w:r w:rsidR="003E15C9">
          <w:rPr>
            <w:noProof/>
            <w:webHidden/>
          </w:rPr>
          <w:instrText xml:space="preserve"> PAGEREF _Toc450734065 \h </w:instrText>
        </w:r>
        <w:r w:rsidR="003E15C9">
          <w:rPr>
            <w:noProof/>
            <w:webHidden/>
          </w:rPr>
        </w:r>
        <w:r w:rsidR="003E15C9">
          <w:rPr>
            <w:noProof/>
            <w:webHidden/>
          </w:rPr>
          <w:fldChar w:fldCharType="separate"/>
        </w:r>
        <w:r w:rsidR="004D5914">
          <w:rPr>
            <w:noProof/>
            <w:webHidden/>
          </w:rPr>
          <w:t>12</w:t>
        </w:r>
        <w:r w:rsidR="003E15C9">
          <w:rPr>
            <w:noProof/>
            <w:webHidden/>
          </w:rPr>
          <w:fldChar w:fldCharType="end"/>
        </w:r>
      </w:hyperlink>
    </w:p>
    <w:p w14:paraId="0A0FE5E1" w14:textId="77777777" w:rsidR="003E15C9" w:rsidRDefault="00D42177">
      <w:pPr>
        <w:pStyle w:val="TOC1"/>
        <w:tabs>
          <w:tab w:val="right" w:leader="dot" w:pos="9350"/>
        </w:tabs>
        <w:rPr>
          <w:rFonts w:asciiTheme="minorHAnsi" w:eastAsiaTheme="minorEastAsia" w:hAnsiTheme="minorHAnsi" w:cstheme="minorBidi"/>
          <w:noProof/>
          <w:sz w:val="22"/>
          <w:szCs w:val="22"/>
        </w:rPr>
      </w:pPr>
      <w:hyperlink w:anchor="_Toc450734066" w:history="1">
        <w:r w:rsidR="003E15C9" w:rsidRPr="00E450FC">
          <w:rPr>
            <w:rStyle w:val="Hyperlink"/>
            <w:noProof/>
          </w:rPr>
          <w:t>Appendix A. Acknowledgments</w:t>
        </w:r>
        <w:r w:rsidR="003E15C9">
          <w:rPr>
            <w:noProof/>
            <w:webHidden/>
          </w:rPr>
          <w:tab/>
        </w:r>
        <w:r w:rsidR="003E15C9">
          <w:rPr>
            <w:noProof/>
            <w:webHidden/>
          </w:rPr>
          <w:fldChar w:fldCharType="begin"/>
        </w:r>
        <w:r w:rsidR="003E15C9">
          <w:rPr>
            <w:noProof/>
            <w:webHidden/>
          </w:rPr>
          <w:instrText xml:space="preserve"> PAGEREF _Toc450734066 \h </w:instrText>
        </w:r>
        <w:r w:rsidR="003E15C9">
          <w:rPr>
            <w:noProof/>
            <w:webHidden/>
          </w:rPr>
        </w:r>
        <w:r w:rsidR="003E15C9">
          <w:rPr>
            <w:noProof/>
            <w:webHidden/>
          </w:rPr>
          <w:fldChar w:fldCharType="separate"/>
        </w:r>
        <w:r w:rsidR="004D5914">
          <w:rPr>
            <w:noProof/>
            <w:webHidden/>
          </w:rPr>
          <w:t>13</w:t>
        </w:r>
        <w:r w:rsidR="003E15C9">
          <w:rPr>
            <w:noProof/>
            <w:webHidden/>
          </w:rPr>
          <w:fldChar w:fldCharType="end"/>
        </w:r>
      </w:hyperlink>
    </w:p>
    <w:p w14:paraId="1EF29B18" w14:textId="77777777" w:rsidR="003E15C9" w:rsidRDefault="00D42177">
      <w:pPr>
        <w:pStyle w:val="TOC1"/>
        <w:tabs>
          <w:tab w:val="right" w:leader="dot" w:pos="9350"/>
        </w:tabs>
        <w:rPr>
          <w:rFonts w:asciiTheme="minorHAnsi" w:eastAsiaTheme="minorEastAsia" w:hAnsiTheme="minorHAnsi" w:cstheme="minorBidi"/>
          <w:noProof/>
          <w:sz w:val="22"/>
          <w:szCs w:val="22"/>
        </w:rPr>
      </w:pPr>
      <w:hyperlink w:anchor="_Toc450734067" w:history="1">
        <w:r w:rsidR="003E15C9" w:rsidRPr="00E450FC">
          <w:rPr>
            <w:rStyle w:val="Hyperlink"/>
            <w:noProof/>
          </w:rPr>
          <w:t>Appendix B. Revision History</w:t>
        </w:r>
        <w:r w:rsidR="003E15C9">
          <w:rPr>
            <w:noProof/>
            <w:webHidden/>
          </w:rPr>
          <w:tab/>
        </w:r>
        <w:r w:rsidR="003E15C9">
          <w:rPr>
            <w:noProof/>
            <w:webHidden/>
          </w:rPr>
          <w:fldChar w:fldCharType="begin"/>
        </w:r>
        <w:r w:rsidR="003E15C9">
          <w:rPr>
            <w:noProof/>
            <w:webHidden/>
          </w:rPr>
          <w:instrText xml:space="preserve"> PAGEREF _Toc450734067 \h </w:instrText>
        </w:r>
        <w:r w:rsidR="003E15C9">
          <w:rPr>
            <w:noProof/>
            <w:webHidden/>
          </w:rPr>
        </w:r>
        <w:r w:rsidR="003E15C9">
          <w:rPr>
            <w:noProof/>
            <w:webHidden/>
          </w:rPr>
          <w:fldChar w:fldCharType="separate"/>
        </w:r>
        <w:r w:rsidR="004D5914">
          <w:rPr>
            <w:noProof/>
            <w:webHidden/>
          </w:rPr>
          <w:t>17</w:t>
        </w:r>
        <w:r w:rsidR="003E15C9">
          <w:rPr>
            <w:noProof/>
            <w:webHidden/>
          </w:rPr>
          <w:fldChar w:fldCharType="end"/>
        </w:r>
      </w:hyperlink>
    </w:p>
    <w:p w14:paraId="36E139AA" w14:textId="39645009" w:rsidR="00177DED" w:rsidRDefault="008C100C" w:rsidP="008C100C">
      <w:pPr>
        <w:pStyle w:val="TextBody"/>
      </w:pPr>
      <w:r>
        <w:fldChar w:fldCharType="end"/>
      </w:r>
    </w:p>
    <w:p w14:paraId="796E00F3" w14:textId="77777777" w:rsidR="00177DED" w:rsidRPr="00177DED" w:rsidRDefault="00177DED" w:rsidP="008C100C">
      <w:pPr>
        <w:pStyle w:val="TextBody"/>
        <w:sectPr w:rsidR="00177DED" w:rsidRPr="00177DED" w:rsidSect="003D1945">
          <w:headerReference w:type="even" r:id="rId48"/>
          <w:footerReference w:type="default" r:id="rId49"/>
          <w:footerReference w:type="first" r:id="rId50"/>
          <w:pgSz w:w="12240" w:h="15840" w:code="1"/>
          <w:pgMar w:top="1440" w:right="1440" w:bottom="720" w:left="1440" w:header="720" w:footer="720" w:gutter="0"/>
          <w:cols w:space="720"/>
          <w:docGrid w:linePitch="360"/>
        </w:sectPr>
      </w:pPr>
    </w:p>
    <w:p w14:paraId="0C68EE7A" w14:textId="77777777" w:rsidR="00601EC9" w:rsidRPr="00C52EFC" w:rsidRDefault="00601EC9" w:rsidP="00601EC9">
      <w:pPr>
        <w:pStyle w:val="Heading1"/>
        <w:numPr>
          <w:ilvl w:val="0"/>
          <w:numId w:val="18"/>
        </w:numPr>
      </w:pPr>
      <w:bookmarkStart w:id="0" w:name="_Toc431898795"/>
      <w:bookmarkStart w:id="1" w:name="_Toc450734052"/>
      <w:r>
        <w:lastRenderedPageBreak/>
        <w:t>Introduction</w:t>
      </w:r>
      <w:bookmarkEnd w:id="0"/>
      <w:bookmarkEnd w:id="1"/>
    </w:p>
    <w:p w14:paraId="309173D2" w14:textId="2ECD3F51" w:rsidR="00601EC9" w:rsidRPr="0077070C" w:rsidRDefault="00601EC9" w:rsidP="00601EC9">
      <w:r w:rsidRPr="0077070C">
        <w:t xml:space="preserve">Trusted Automated eXchange </w:t>
      </w:r>
      <w:r w:rsidR="00E033C3">
        <w:t>of Indicator Information (TAXII</w:t>
      </w:r>
      <w:r w:rsidR="0070505C">
        <w:t>™</w:t>
      </w:r>
      <w:r w:rsidRPr="0077070C">
        <w:t xml:space="preserve">) defines a set of services and message exchanges that, when implemented, </w:t>
      </w:r>
      <w:r w:rsidRPr="0077070C">
        <w:rPr>
          <w:bCs/>
        </w:rPr>
        <w:t>enable</w:t>
      </w:r>
      <w:r w:rsidRPr="0077070C">
        <w:t xml:space="preserve"> sharing of actionable cyber threat information across organization and product/service boundaries. TAXII, through its member specifications, defines concepts, protocols and messages to exchange cyber threat information for the detection, prevention, and mitigation of cyber threats.  TAXII is not an information sharing initiative or application and does not attempt to define trust agreements, governance, or non-technical aspects of cyber threat information sharing.  Instead, TAXII empowers organizations to achieve improved situational awareness about emerging threats, and enables organizations to easily share the information they choose with the partners they choose. </w:t>
      </w:r>
    </w:p>
    <w:p w14:paraId="57150D4A" w14:textId="77777777" w:rsidR="00601EC9" w:rsidRDefault="00601EC9" w:rsidP="00601EC9"/>
    <w:p w14:paraId="5DABAD18" w14:textId="77777777" w:rsidR="00601EC9" w:rsidRDefault="00601EC9" w:rsidP="00601EC9">
      <w:pPr>
        <w:pStyle w:val="Heading2"/>
        <w:numPr>
          <w:ilvl w:val="1"/>
          <w:numId w:val="18"/>
        </w:numPr>
      </w:pPr>
      <w:bookmarkStart w:id="2" w:name="_Toc431898796"/>
      <w:bookmarkStart w:id="3" w:name="_Toc450734053"/>
      <w:bookmarkStart w:id="4" w:name="_Toc85472893"/>
      <w:bookmarkStart w:id="5" w:name="_Toc287332007"/>
      <w:r>
        <w:t>Scope</w:t>
      </w:r>
      <w:bookmarkEnd w:id="2"/>
      <w:bookmarkEnd w:id="3"/>
    </w:p>
    <w:p w14:paraId="1E1C4A10" w14:textId="77777777" w:rsidR="00601EC9" w:rsidRDefault="00601EC9" w:rsidP="00601EC9">
      <w:r>
        <w:t>This section describes the scope of TAXII by illustrating the spectrum of information sharing models TAXII supports. TAXII's scope includes, but is not limited to, the following information sharing models, as well as variants and combinations of the sharing models.</w:t>
      </w:r>
    </w:p>
    <w:p w14:paraId="3E520135" w14:textId="77777777" w:rsidR="00601EC9" w:rsidRPr="00587B46" w:rsidRDefault="00601EC9" w:rsidP="00601EC9"/>
    <w:p w14:paraId="6B052D56" w14:textId="77777777" w:rsidR="00601EC9" w:rsidRDefault="00601EC9" w:rsidP="00601EC9">
      <w:r>
        <w:rPr>
          <w:b/>
        </w:rPr>
        <w:t xml:space="preserve">Hub and Spoke - </w:t>
      </w:r>
      <w:r>
        <w:t>In a hub and spoke information sharing architecture, one organization acts as a clearinghouse (the hub) for all sharing participants (the spokes). A spoke shares information with the hub, which then re-shares this information with all other spokes. The hub may perform analytics or filtering before re-sharing information. In this architecture, information may flow from spoke to hub and from hub to spoke.</w:t>
      </w:r>
    </w:p>
    <w:p w14:paraId="40A92957" w14:textId="77777777" w:rsidR="00601EC9" w:rsidRDefault="00601EC9" w:rsidP="00601EC9">
      <w:pPr>
        <w:keepNext/>
        <w:jc w:val="center"/>
      </w:pPr>
      <w:r>
        <w:rPr>
          <w:noProof/>
        </w:rPr>
        <w:drawing>
          <wp:inline distT="0" distB="0" distL="0" distR="0" wp14:anchorId="545D28D4" wp14:editId="14F4262F">
            <wp:extent cx="3430905" cy="2136140"/>
            <wp:effectExtent l="19050" t="19050" r="1714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30905" cy="2136140"/>
                    </a:xfrm>
                    <a:prstGeom prst="rect">
                      <a:avLst/>
                    </a:prstGeom>
                    <a:noFill/>
                    <a:ln>
                      <a:solidFill>
                        <a:schemeClr val="tx1"/>
                      </a:solidFill>
                    </a:ln>
                  </pic:spPr>
                </pic:pic>
              </a:graphicData>
            </a:graphic>
          </wp:inline>
        </w:drawing>
      </w:r>
    </w:p>
    <w:p w14:paraId="34A3B411" w14:textId="77777777" w:rsidR="00601EC9" w:rsidRDefault="00601EC9" w:rsidP="00601EC9">
      <w:pPr>
        <w:pStyle w:val="Caption"/>
        <w:jc w:val="center"/>
      </w:pPr>
      <w:r>
        <w:t xml:space="preserve">Figure </w:t>
      </w:r>
      <w:fldSimple w:instr=" SEQ Figure \* ARABIC ">
        <w:r w:rsidR="004D5914">
          <w:rPr>
            <w:noProof/>
          </w:rPr>
          <w:t>1</w:t>
        </w:r>
      </w:fldSimple>
      <w:r>
        <w:t xml:space="preserve"> - Hub and Spoke Diagram</w:t>
      </w:r>
    </w:p>
    <w:p w14:paraId="073FB244" w14:textId="77777777" w:rsidR="00601EC9" w:rsidRDefault="00601EC9" w:rsidP="00601EC9">
      <w:pPr>
        <w:rPr>
          <w:b/>
        </w:rPr>
      </w:pPr>
    </w:p>
    <w:p w14:paraId="31A6961F" w14:textId="77777777" w:rsidR="00601EC9" w:rsidRDefault="00601EC9" w:rsidP="00601EC9">
      <w:pPr>
        <w:rPr>
          <w:b/>
        </w:rPr>
      </w:pPr>
    </w:p>
    <w:p w14:paraId="5ED9FEAC" w14:textId="77777777" w:rsidR="00601EC9" w:rsidRDefault="00601EC9" w:rsidP="00601EC9">
      <w:r>
        <w:rPr>
          <w:b/>
        </w:rPr>
        <w:t>Source/</w:t>
      </w:r>
      <w:r w:rsidRPr="00163981">
        <w:rPr>
          <w:b/>
        </w:rPr>
        <w:t>Subscriber -</w:t>
      </w:r>
      <w:r>
        <w:t xml:space="preserve"> </w:t>
      </w:r>
      <w:r w:rsidRPr="00163981">
        <w:t>In</w:t>
      </w:r>
      <w:r>
        <w:t xml:space="preserve"> a source/subscriber information sharing architecture, one organization acts as a single source of information for all subscribers. In this architecture, information flows from the source to a subscriber.</w:t>
      </w:r>
    </w:p>
    <w:p w14:paraId="6C0BFD66" w14:textId="77777777" w:rsidR="00601EC9" w:rsidRDefault="00601EC9" w:rsidP="00601EC9">
      <w:pPr>
        <w:keepNext/>
        <w:jc w:val="center"/>
      </w:pPr>
      <w:r>
        <w:rPr>
          <w:noProof/>
        </w:rPr>
        <w:lastRenderedPageBreak/>
        <w:drawing>
          <wp:inline distT="0" distB="0" distL="0" distR="0" wp14:anchorId="75699264" wp14:editId="6E2204CE">
            <wp:extent cx="3657600" cy="219075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57600" cy="2190750"/>
                    </a:xfrm>
                    <a:prstGeom prst="rect">
                      <a:avLst/>
                    </a:prstGeom>
                    <a:noFill/>
                    <a:ln>
                      <a:solidFill>
                        <a:schemeClr val="tx1"/>
                      </a:solidFill>
                    </a:ln>
                  </pic:spPr>
                </pic:pic>
              </a:graphicData>
            </a:graphic>
          </wp:inline>
        </w:drawing>
      </w:r>
    </w:p>
    <w:p w14:paraId="230527FE" w14:textId="77777777" w:rsidR="00601EC9" w:rsidRDefault="00601EC9" w:rsidP="00601EC9">
      <w:pPr>
        <w:pStyle w:val="Caption"/>
        <w:jc w:val="center"/>
      </w:pPr>
      <w:r>
        <w:t xml:space="preserve">Figure </w:t>
      </w:r>
      <w:fldSimple w:instr=" SEQ Figure \* ARABIC ">
        <w:r w:rsidR="004D5914">
          <w:rPr>
            <w:noProof/>
          </w:rPr>
          <w:t>2</w:t>
        </w:r>
      </w:fldSimple>
      <w:r>
        <w:t xml:space="preserve"> - Source/Subscriber Diagram</w:t>
      </w:r>
    </w:p>
    <w:p w14:paraId="17DC1185" w14:textId="77777777" w:rsidR="00601EC9" w:rsidRDefault="00601EC9" w:rsidP="00601EC9">
      <w:pPr>
        <w:rPr>
          <w:b/>
        </w:rPr>
      </w:pPr>
    </w:p>
    <w:p w14:paraId="7098D169" w14:textId="77777777" w:rsidR="00601EC9" w:rsidRDefault="00601EC9" w:rsidP="00601EC9">
      <w:r w:rsidRPr="002F2136">
        <w:rPr>
          <w:b/>
        </w:rPr>
        <w:t xml:space="preserve">Peer to Peer - </w:t>
      </w:r>
      <w:r>
        <w:t>In the Peer to Peer information sharing architecture, any number of organizations act as both producers and consumers of information. In this architecture, information flows from one peer to another peer.</w:t>
      </w:r>
    </w:p>
    <w:p w14:paraId="31A6AEE5" w14:textId="77777777" w:rsidR="00601EC9" w:rsidRDefault="00601EC9" w:rsidP="00601EC9">
      <w:pPr>
        <w:keepNext/>
        <w:jc w:val="center"/>
      </w:pPr>
      <w:r>
        <w:rPr>
          <w:noProof/>
        </w:rPr>
        <w:drawing>
          <wp:inline distT="0" distB="0" distL="0" distR="0" wp14:anchorId="2A1F440E" wp14:editId="0C829240">
            <wp:extent cx="3609975" cy="2438400"/>
            <wp:effectExtent l="19050" t="19050" r="2857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9975" cy="2438400"/>
                    </a:xfrm>
                    <a:prstGeom prst="rect">
                      <a:avLst/>
                    </a:prstGeom>
                    <a:noFill/>
                    <a:ln>
                      <a:solidFill>
                        <a:schemeClr val="tx1"/>
                      </a:solidFill>
                    </a:ln>
                  </pic:spPr>
                </pic:pic>
              </a:graphicData>
            </a:graphic>
          </wp:inline>
        </w:drawing>
      </w:r>
    </w:p>
    <w:p w14:paraId="62904382" w14:textId="77777777" w:rsidR="00601EC9" w:rsidRDefault="00601EC9" w:rsidP="00601EC9">
      <w:pPr>
        <w:pStyle w:val="Caption"/>
        <w:jc w:val="center"/>
      </w:pPr>
      <w:r>
        <w:t xml:space="preserve">Figure </w:t>
      </w:r>
      <w:fldSimple w:instr=" SEQ Figure \* ARABIC ">
        <w:r w:rsidR="004D5914">
          <w:rPr>
            <w:noProof/>
          </w:rPr>
          <w:t>3</w:t>
        </w:r>
      </w:fldSimple>
      <w:r>
        <w:t xml:space="preserve"> - Peer to Peer Diagram</w:t>
      </w:r>
    </w:p>
    <w:p w14:paraId="537AB488" w14:textId="77777777" w:rsidR="00601EC9" w:rsidRDefault="00601EC9" w:rsidP="00601EC9"/>
    <w:p w14:paraId="256CAB3C" w14:textId="2CEBB092" w:rsidR="00601EC9" w:rsidRDefault="00601EC9" w:rsidP="00601EC9">
      <w:pPr>
        <w:pStyle w:val="Heading2"/>
        <w:numPr>
          <w:ilvl w:val="1"/>
          <w:numId w:val="18"/>
        </w:numPr>
      </w:pPr>
      <w:bookmarkStart w:id="6" w:name="_Toc431898797"/>
      <w:bookmarkStart w:id="7" w:name="_Toc450734054"/>
      <w:r>
        <w:t>TAXII</w:t>
      </w:r>
      <w:r w:rsidR="0070505C">
        <w:t>™</w:t>
      </w:r>
      <w:r>
        <w:t xml:space="preserve"> Documents</w:t>
      </w:r>
      <w:bookmarkEnd w:id="6"/>
      <w:bookmarkEnd w:id="7"/>
    </w:p>
    <w:p w14:paraId="54F1F0DE" w14:textId="77777777" w:rsidR="00601EC9" w:rsidRDefault="00601EC9" w:rsidP="00601EC9">
      <w:r>
        <w:t>TAXII is defined by a collection of interrelated documents. This section describes those documents.</w:t>
      </w:r>
    </w:p>
    <w:p w14:paraId="60B246D8" w14:textId="77777777" w:rsidR="00601EC9" w:rsidRDefault="00601EC9" w:rsidP="00601EC9">
      <w:pPr>
        <w:ind w:left="180" w:hanging="180"/>
      </w:pPr>
      <w:r w:rsidRPr="001A3228">
        <w:rPr>
          <w:b/>
        </w:rPr>
        <w:t xml:space="preserve">TAXII </w:t>
      </w:r>
      <w:r>
        <w:rPr>
          <w:b/>
        </w:rPr>
        <w:t>Overview</w:t>
      </w:r>
      <w:r>
        <w:t xml:space="preserve"> - The TAXII Overview (this document) defines the primary concepts of TAXII, as well as the organization of TAXII component documents.</w:t>
      </w:r>
    </w:p>
    <w:p w14:paraId="3254B046" w14:textId="77777777" w:rsidR="00601EC9" w:rsidRDefault="00601EC9" w:rsidP="00601EC9">
      <w:pPr>
        <w:ind w:left="180" w:hanging="180"/>
      </w:pPr>
      <w:r>
        <w:rPr>
          <w:b/>
        </w:rPr>
        <w:t>Services Specification</w:t>
      </w:r>
      <w:r>
        <w:t xml:space="preserve"> - The Services Specification defines TAXII Services, as well as the information conveyed by TAXII Messages and TAXII Message Exchanges. It provides normative requirements that govern TAXII Services and Message Exchanges. </w:t>
      </w:r>
    </w:p>
    <w:p w14:paraId="75FB452B" w14:textId="77777777" w:rsidR="00601EC9" w:rsidRDefault="00601EC9" w:rsidP="00601EC9">
      <w:pPr>
        <w:ind w:left="180" w:hanging="180"/>
      </w:pPr>
      <w:r>
        <w:rPr>
          <w:b/>
        </w:rPr>
        <w:t>Message Binding Specification</w:t>
      </w:r>
      <w:r>
        <w:t xml:space="preserve"> - A Message Binding Specification defines normative requirements for representing TAXII Messages in a particular format (e.g., XML). There may be multiple Message Binding Specifications created for TAXII where each Message Binding Specification defines a binding of TAXII Messages using a different format.</w:t>
      </w:r>
    </w:p>
    <w:p w14:paraId="4399775C" w14:textId="77777777" w:rsidR="00601EC9" w:rsidRDefault="00601EC9" w:rsidP="00601EC9">
      <w:pPr>
        <w:ind w:left="180" w:hanging="180"/>
      </w:pPr>
      <w:r>
        <w:rPr>
          <w:b/>
        </w:rPr>
        <w:lastRenderedPageBreak/>
        <w:t>Protocol Binding Specification</w:t>
      </w:r>
      <w:r>
        <w:t xml:space="preserve"> - A Protocol Binding Specification defines normative requirements for transporting TAXII Messages over some network protocol (e.g., HTTP). There may be multiple Protocol Binding Specifications created for TAXII where each Protocol Binding Specification defines requirements for transporting TAXII Messages using a different network protocol. </w:t>
      </w:r>
    </w:p>
    <w:p w14:paraId="7184DE42" w14:textId="77777777" w:rsidR="00601EC9" w:rsidRPr="00120333" w:rsidRDefault="00601EC9" w:rsidP="00601EC9">
      <w:pPr>
        <w:ind w:left="180" w:hanging="180"/>
      </w:pPr>
      <w:r>
        <w:rPr>
          <w:b/>
        </w:rPr>
        <w:t>Query Format Specification</w:t>
      </w:r>
      <w:r>
        <w:t xml:space="preserve"> - A Query Format Specification defines a query format that can be used to define query expressions that are used within TAXII Messages to provide characteristics against which content records are compared. Query Expressions allow requestors to collect only content that meets these criteria. A Query Format Specification my include how to express the given format in a particular Message Binding, or this may be handled by a separate Message Binding Specification.</w:t>
      </w:r>
    </w:p>
    <w:p w14:paraId="114F8204" w14:textId="77777777" w:rsidR="00601EC9" w:rsidRPr="008915A7" w:rsidRDefault="00601EC9" w:rsidP="00601EC9">
      <w:pPr>
        <w:ind w:left="180" w:hanging="180"/>
      </w:pPr>
      <w:r>
        <w:rPr>
          <w:b/>
        </w:rPr>
        <w:t>Content</w:t>
      </w:r>
      <w:r w:rsidRPr="008915A7">
        <w:rPr>
          <w:b/>
        </w:rPr>
        <w:t xml:space="preserve"> Binding Reference - </w:t>
      </w:r>
      <w:r>
        <w:t>The Content Binding Reference is a non-normative document that lists Content Binding IDs for use within TAXII.</w:t>
      </w:r>
    </w:p>
    <w:p w14:paraId="323B86A1" w14:textId="77777777" w:rsidR="00601EC9" w:rsidRPr="004E1659" w:rsidRDefault="00601EC9" w:rsidP="00601EC9">
      <w:pPr>
        <w:rPr>
          <w:b/>
        </w:rPr>
      </w:pPr>
      <w:r>
        <w:rPr>
          <w:b/>
        </w:rPr>
        <w:fldChar w:fldCharType="begin"/>
      </w:r>
      <w:r>
        <w:rPr>
          <w:b/>
        </w:rPr>
        <w:instrText xml:space="preserve"> REF _Ref338318904 \h </w:instrText>
      </w:r>
      <w:r>
        <w:rPr>
          <w:b/>
        </w:rPr>
      </w:r>
      <w:r>
        <w:rPr>
          <w:b/>
        </w:rPr>
        <w:fldChar w:fldCharType="separate"/>
      </w:r>
      <w:r w:rsidR="004D5914">
        <w:t xml:space="preserve">Figure </w:t>
      </w:r>
      <w:r w:rsidR="004D5914">
        <w:rPr>
          <w:noProof/>
        </w:rPr>
        <w:t>4</w:t>
      </w:r>
      <w:r>
        <w:rPr>
          <w:b/>
        </w:rPr>
        <w:fldChar w:fldCharType="end"/>
      </w:r>
      <w:r w:rsidRPr="00C811EC">
        <w:t xml:space="preserve"> shows</w:t>
      </w:r>
      <w:r>
        <w:t xml:space="preserve"> how these specifications relate to each other. </w:t>
      </w:r>
    </w:p>
    <w:p w14:paraId="30A8AAA7" w14:textId="77777777" w:rsidR="00601EC9" w:rsidRDefault="00601EC9" w:rsidP="00601EC9">
      <w:pPr>
        <w:jc w:val="center"/>
      </w:pPr>
      <w:r>
        <w:rPr>
          <w:noProof/>
        </w:rPr>
        <mc:AlternateContent>
          <mc:Choice Requires="wpc">
            <w:drawing>
              <wp:inline distT="0" distB="0" distL="0" distR="0" wp14:anchorId="08314778" wp14:editId="658F6C22">
                <wp:extent cx="5486400" cy="4597879"/>
                <wp:effectExtent l="0" t="0" r="0" b="0"/>
                <wp:docPr id="18" name="Canvas 5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 name="Rounded Rectangle 2"/>
                        <wps:cNvSpPr/>
                        <wps:spPr>
                          <a:xfrm>
                            <a:off x="265725" y="3270710"/>
                            <a:ext cx="2296160" cy="112458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A32EA34" w14:textId="77777777" w:rsidR="00601EC9" w:rsidRDefault="00601EC9" w:rsidP="00601EC9">
                              <w:pPr>
                                <w:pStyle w:val="NormalWeb"/>
                                <w:spacing w:before="0" w:beforeAutospacing="0" w:after="200" w:afterAutospacing="0" w:line="276" w:lineRule="auto"/>
                                <w:ind w:left="360" w:hanging="360"/>
                              </w:pPr>
                              <w:r>
                                <w:rPr>
                                  <w:rFonts w:eastAsia="Times New Roman"/>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80000" y="3171015"/>
                            <a:ext cx="2296160" cy="112458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61D07A9" w14:textId="77777777" w:rsidR="00601EC9" w:rsidRDefault="00601EC9" w:rsidP="00601EC9">
                              <w:pPr>
                                <w:pStyle w:val="NormalWeb"/>
                                <w:spacing w:before="0" w:beforeAutospacing="0" w:after="200" w:afterAutospacing="0" w:line="276" w:lineRule="auto"/>
                                <w:ind w:left="360" w:hanging="36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63902" y="389331"/>
                            <a:ext cx="2131623" cy="1811548"/>
                          </a:xfrm>
                          <a:prstGeom prst="roundRect">
                            <a:avLst/>
                          </a:prstGeom>
                          <a:effectLst/>
                        </wps:spPr>
                        <wps:style>
                          <a:lnRef idx="2">
                            <a:schemeClr val="accent5"/>
                          </a:lnRef>
                          <a:fillRef idx="1">
                            <a:schemeClr val="lt1"/>
                          </a:fillRef>
                          <a:effectRef idx="0">
                            <a:schemeClr val="accent5"/>
                          </a:effectRef>
                          <a:fontRef idx="minor">
                            <a:schemeClr val="dk1"/>
                          </a:fontRef>
                        </wps:style>
                        <wps:txbx>
                          <w:txbxContent>
                            <w:p w14:paraId="23E8A661" w14:textId="77777777" w:rsidR="00601EC9" w:rsidRPr="00A617D9" w:rsidRDefault="00601EC9" w:rsidP="00601EC9">
                              <w:pPr>
                                <w:rPr>
                                  <w:b/>
                                </w:rPr>
                              </w:pPr>
                              <w:r w:rsidRPr="00A617D9">
                                <w:rPr>
                                  <w:b/>
                                </w:rPr>
                                <w:t>TAXII Services Specification</w:t>
                              </w:r>
                            </w:p>
                            <w:p w14:paraId="2F43A431" w14:textId="77777777" w:rsidR="00601EC9" w:rsidRDefault="00601EC9" w:rsidP="00601EC9">
                              <w:pPr>
                                <w:pStyle w:val="ListParagraph"/>
                                <w:numPr>
                                  <w:ilvl w:val="0"/>
                                  <w:numId w:val="39"/>
                                </w:numPr>
                              </w:pPr>
                              <w:r>
                                <w:t>Defines TAXII Services</w:t>
                              </w:r>
                            </w:p>
                            <w:p w14:paraId="50FEB42E" w14:textId="77777777" w:rsidR="00601EC9" w:rsidRDefault="00601EC9" w:rsidP="00601EC9">
                              <w:pPr>
                                <w:pStyle w:val="ListParagraph"/>
                                <w:numPr>
                                  <w:ilvl w:val="0"/>
                                  <w:numId w:val="39"/>
                                </w:numPr>
                              </w:pPr>
                              <w:r>
                                <w:t>Defines TAXII Message Types</w:t>
                              </w:r>
                            </w:p>
                            <w:p w14:paraId="56533462" w14:textId="77777777" w:rsidR="00601EC9" w:rsidRDefault="00601EC9" w:rsidP="00601EC9">
                              <w:pPr>
                                <w:pStyle w:val="ListParagraph"/>
                                <w:numPr>
                                  <w:ilvl w:val="0"/>
                                  <w:numId w:val="39"/>
                                </w:numPr>
                              </w:pPr>
                              <w:r>
                                <w:t>Defines TAXII Message Exchanges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bow Connector 5"/>
                        <wps:cNvCnPr/>
                        <wps:spPr>
                          <a:xfrm rot="10800000" flipV="1">
                            <a:off x="2295525" y="605437"/>
                            <a:ext cx="380642" cy="689668"/>
                          </a:xfrm>
                          <a:prstGeom prst="bentConnector3">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 name="Elbow Connector 6"/>
                        <wps:cNvCnPr/>
                        <wps:spPr>
                          <a:xfrm rot="10800000">
                            <a:off x="2295525" y="1295106"/>
                            <a:ext cx="380644" cy="758641"/>
                          </a:xfrm>
                          <a:prstGeom prst="bentConnector3">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7" name="Rounded Rectangle 7"/>
                        <wps:cNvSpPr/>
                        <wps:spPr>
                          <a:xfrm>
                            <a:off x="2905125" y="236918"/>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B463890"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790467" y="137501"/>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6C278A3" w14:textId="77777777" w:rsidR="00601EC9" w:rsidRDefault="00601EC9" w:rsidP="00601EC9">
                              <w:pPr>
                                <w:pStyle w:val="ListParagraph"/>
                                <w:spacing w:after="0"/>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676167" y="36003"/>
                            <a:ext cx="2524485" cy="113886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28F9CC6" w14:textId="77777777" w:rsidR="00601EC9" w:rsidRPr="00A617D9" w:rsidRDefault="00601EC9" w:rsidP="00601EC9">
                              <w:pPr>
                                <w:rPr>
                                  <w:b/>
                                </w:rPr>
                              </w:pPr>
                              <w:r w:rsidRPr="00A617D9">
                                <w:rPr>
                                  <w:b/>
                                </w:rPr>
                                <w:t xml:space="preserve">TAXII Protocol </w:t>
                              </w:r>
                              <w:r>
                                <w:rPr>
                                  <w:b/>
                                </w:rPr>
                                <w:t>Binding</w:t>
                              </w:r>
                              <w:r w:rsidRPr="00A617D9">
                                <w:rPr>
                                  <w:b/>
                                </w:rPr>
                                <w:t xml:space="preserve"> Specification</w:t>
                              </w:r>
                              <w:r>
                                <w:rPr>
                                  <w:b/>
                                </w:rPr>
                                <w:t>s</w:t>
                              </w:r>
                            </w:p>
                            <w:p w14:paraId="3A7E49BF" w14:textId="77777777" w:rsidR="00601EC9" w:rsidRDefault="00601EC9" w:rsidP="00601EC9">
                              <w:pPr>
                                <w:pStyle w:val="ListParagraph"/>
                                <w:numPr>
                                  <w:ilvl w:val="0"/>
                                  <w:numId w:val="40"/>
                                </w:numPr>
                              </w:pPr>
                              <w:r>
                                <w:t>Define requirements for network transport of TAXII 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875852" y="1673088"/>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0A76E90"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unded Rectangle 11"/>
                        <wps:cNvSpPr/>
                        <wps:spPr>
                          <a:xfrm>
                            <a:off x="2770800" y="1577543"/>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38E699D"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2"/>
                        <wps:cNvSpPr/>
                        <wps:spPr>
                          <a:xfrm>
                            <a:off x="2676169" y="1491283"/>
                            <a:ext cx="2524484" cy="11249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BE205C9" w14:textId="77777777" w:rsidR="00601EC9" w:rsidRPr="00A617D9" w:rsidRDefault="00601EC9" w:rsidP="00601EC9">
                              <w:pPr>
                                <w:rPr>
                                  <w:b/>
                                </w:rPr>
                              </w:pPr>
                              <w:r w:rsidRPr="00A617D9">
                                <w:rPr>
                                  <w:b/>
                                </w:rPr>
                                <w:t xml:space="preserve">TAXII Message </w:t>
                              </w:r>
                              <w:r>
                                <w:rPr>
                                  <w:b/>
                                </w:rPr>
                                <w:t>Binding</w:t>
                              </w:r>
                              <w:r w:rsidRPr="00A617D9">
                                <w:rPr>
                                  <w:b/>
                                </w:rPr>
                                <w:t xml:space="preserve"> Specification</w:t>
                              </w:r>
                              <w:r>
                                <w:rPr>
                                  <w:b/>
                                </w:rPr>
                                <w:t>s</w:t>
                              </w:r>
                            </w:p>
                            <w:p w14:paraId="49049ED9" w14:textId="77777777" w:rsidR="00601EC9" w:rsidRPr="00771FBB" w:rsidRDefault="00601EC9" w:rsidP="00601EC9">
                              <w:pPr>
                                <w:pStyle w:val="ListParagraph"/>
                                <w:numPr>
                                  <w:ilvl w:val="0"/>
                                  <w:numId w:val="41"/>
                                </w:numPr>
                                <w:rPr>
                                  <w:rFonts w:eastAsia="Times New Roman"/>
                                </w:rPr>
                              </w:pPr>
                              <w:r w:rsidRPr="00771FBB">
                                <w:rPr>
                                  <w:rFonts w:eastAsia="Calibri"/>
                                </w:rPr>
                                <w:t>Define TAXII Message format bindings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ounded Rectangle 13"/>
                        <wps:cNvSpPr/>
                        <wps:spPr>
                          <a:xfrm>
                            <a:off x="2875918" y="3266265"/>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8E1095E"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4"/>
                        <wps:cNvSpPr/>
                        <wps:spPr>
                          <a:xfrm>
                            <a:off x="2771143" y="3171015"/>
                            <a:ext cx="2524125" cy="113855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751B982"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ounded Rectangle 15"/>
                        <wps:cNvSpPr/>
                        <wps:spPr>
                          <a:xfrm>
                            <a:off x="2676528" y="3084655"/>
                            <a:ext cx="2524125" cy="112458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812A612" w14:textId="77777777" w:rsidR="00601EC9" w:rsidRPr="00A0455E" w:rsidRDefault="00601EC9" w:rsidP="00601EC9">
                              <w:pPr>
                                <w:rPr>
                                  <w:b/>
                                </w:rPr>
                              </w:pPr>
                              <w:r w:rsidRPr="00A0455E">
                                <w:rPr>
                                  <w:b/>
                                </w:rPr>
                                <w:t xml:space="preserve">TAXII </w:t>
                              </w:r>
                              <w:r>
                                <w:rPr>
                                  <w:b/>
                                </w:rPr>
                                <w:t>Query</w:t>
                              </w:r>
                              <w:r w:rsidRPr="00A0455E">
                                <w:rPr>
                                  <w:b/>
                                </w:rPr>
                                <w:t xml:space="preserve"> </w:t>
                              </w:r>
                              <w:r>
                                <w:rPr>
                                  <w:b/>
                                </w:rPr>
                                <w:t>Format</w:t>
                              </w:r>
                              <w:r w:rsidRPr="00A0455E">
                                <w:rPr>
                                  <w:b/>
                                </w:rPr>
                                <w:t xml:space="preserve"> Specifications</w:t>
                              </w:r>
                            </w:p>
                            <w:p w14:paraId="2E79E698" w14:textId="77777777" w:rsidR="00601EC9" w:rsidRPr="00A0455E" w:rsidRDefault="00601EC9" w:rsidP="00601EC9">
                              <w:pPr>
                                <w:pStyle w:val="ListParagraph"/>
                                <w:numPr>
                                  <w:ilvl w:val="0"/>
                                  <w:numId w:val="43"/>
                                </w:numPr>
                                <w:ind w:left="360"/>
                                <w:rPr>
                                  <w:rFonts w:eastAsia="Times New Roman"/>
                                </w:rPr>
                              </w:pPr>
                              <w:r w:rsidRPr="00A0455E">
                                <w:rPr>
                                  <w:rFonts w:eastAsia="Calibri"/>
                                </w:rPr>
                                <w:t xml:space="preserve">Define </w:t>
                              </w:r>
                              <w:r>
                                <w:rPr>
                                  <w:rFonts w:eastAsia="Calibri"/>
                                </w:rPr>
                                <w:t>Query Format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6"/>
                        <wps:cNvSpPr/>
                        <wps:spPr>
                          <a:xfrm>
                            <a:off x="94276" y="3084655"/>
                            <a:ext cx="2296500" cy="112458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3EF0C36" w14:textId="77777777" w:rsidR="00601EC9" w:rsidRDefault="00601EC9" w:rsidP="00601EC9">
                              <w:pPr>
                                <w:rPr>
                                  <w:b/>
                                </w:rPr>
                              </w:pPr>
                              <w:r w:rsidRPr="00120333">
                                <w:rPr>
                                  <w:b/>
                                </w:rPr>
                                <w:t>TAXII Content Binding Reference</w:t>
                              </w:r>
                            </w:p>
                            <w:p w14:paraId="14B4588C" w14:textId="77777777" w:rsidR="00601EC9" w:rsidRPr="00120333" w:rsidRDefault="00601EC9" w:rsidP="00601EC9">
                              <w:pPr>
                                <w:pStyle w:val="ListParagraph"/>
                                <w:numPr>
                                  <w:ilvl w:val="0"/>
                                  <w:numId w:val="44"/>
                                </w:numPr>
                                <w:ind w:left="360"/>
                                <w:rPr>
                                  <w:b/>
                                </w:rPr>
                              </w:pPr>
                              <w:r>
                                <w:t>Define Content Binding ID values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Elbow Connector 17"/>
                        <wps:cNvCnPr/>
                        <wps:spPr>
                          <a:xfrm rot="16200000" flipV="1">
                            <a:off x="3704278" y="2850342"/>
                            <a:ext cx="468447" cy="180"/>
                          </a:xfrm>
                          <a:prstGeom prst="bentConnector3">
                            <a:avLst>
                              <a:gd name="adj1" fmla="val 50000"/>
                            </a:avLst>
                          </a:prstGeom>
                          <a:ln w="28575">
                            <a:prstDash val="dash"/>
                            <a:headEnd type="arrow"/>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3" o:spid="_x0000_s1026" editas="canvas" style="width:6in;height:362.05pt;mso-position-horizontal-relative:char;mso-position-vertical-relative:line" coordsize="54864,4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974;visibility:visible;mso-wrap-style:square">
                  <v:fill o:detectmouseclick="t"/>
                  <v:path o:connecttype="none"/>
                </v:shape>
                <v:roundrect id="Rounded Rectangle 2" o:spid="_x0000_s1028" style="position:absolute;left:2657;top:32707;width:22961;height:11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0hcMA&#10;AADaAAAADwAAAGRycy9kb3ducmV2LnhtbESPQWvCQBSE7wX/w/KEXkrdNGCRmI0UpVjFi1Gox0f2&#10;mYRm34bdVeO/7xaEHoeZ+YbJF4PpxJWcby0reJskIIgrq1uuFRwPn68zED4ga+wsk4I7eVgUo6cc&#10;M21vvKdrGWoRIewzVNCE0GdS+qohg35ie+Lona0zGKJ0tdQObxFuOpkmybs02HJcaLCnZUPVT3kx&#10;CtZJjzu3Dav78eUkv8sUN6fpVqnn8fAxBxFoCP/hR/tLK0jh70q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O0hcMAAADaAAAADwAAAAAAAAAAAAAAAACYAgAAZHJzL2Rv&#10;d25yZXYueG1sUEsFBgAAAAAEAAQA9QAAAIgDAAAAAA==&#10;" fillcolor="white [3201]" strokecolor="#4bacc6 [3208]" strokeweight="2pt">
                  <v:textbox>
                    <w:txbxContent>
                      <w:p w14:paraId="6A32EA34" w14:textId="77777777" w:rsidR="00601EC9" w:rsidRDefault="00601EC9" w:rsidP="00601EC9">
                        <w:pPr>
                          <w:pStyle w:val="NormalWeb"/>
                          <w:spacing w:before="0" w:beforeAutospacing="0" w:after="200" w:afterAutospacing="0" w:line="276" w:lineRule="auto"/>
                          <w:ind w:left="360" w:hanging="360"/>
                        </w:pPr>
                        <w:r>
                          <w:rPr>
                            <w:rFonts w:eastAsia="Times New Roman"/>
                          </w:rPr>
                          <w:t> </w:t>
                        </w:r>
                      </w:p>
                    </w:txbxContent>
                  </v:textbox>
                </v:roundrect>
                <v:roundrect id="Rounded Rectangle 3" o:spid="_x0000_s1029" style="position:absolute;left:1800;top:31710;width:22961;height:11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RHsMA&#10;AADaAAAADwAAAGRycy9kb3ducmV2LnhtbESPQWvCQBSE7wX/w/IEL0U3tSgSsxGxSFvppVHQ4yP7&#10;TILZt2F3q/Hfd4VCj8PMfMNkq9604krON5YVvEwSEMSl1Q1XCg777XgBwgdkja1lUnAnD6t88JRh&#10;qu2Nv+lahEpECPsUFdQhdKmUvqzJoJ/Yjjh6Z+sMhihdJbXDW4SbVk6TZC4NNhwXauxoU1N5KX6M&#10;gvekwy+3C2/3w/NJHospfp5mO6VGw369BBGoD//hv/aHVvAK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8RHsMAAADaAAAADwAAAAAAAAAAAAAAAACYAgAAZHJzL2Rv&#10;d25yZXYueG1sUEsFBgAAAAAEAAQA9QAAAIgDAAAAAA==&#10;" fillcolor="white [3201]" strokecolor="#4bacc6 [3208]" strokeweight="2pt">
                  <v:textbox>
                    <w:txbxContent>
                      <w:p w14:paraId="161D07A9" w14:textId="77777777" w:rsidR="00601EC9" w:rsidRDefault="00601EC9" w:rsidP="00601EC9">
                        <w:pPr>
                          <w:pStyle w:val="NormalWeb"/>
                          <w:spacing w:before="0" w:beforeAutospacing="0" w:after="200" w:afterAutospacing="0" w:line="276" w:lineRule="auto"/>
                          <w:ind w:left="360" w:hanging="360"/>
                        </w:pPr>
                      </w:p>
                    </w:txbxContent>
                  </v:textbox>
                </v:roundrect>
                <v:roundrect id="Rounded Rectangle 4" o:spid="_x0000_s1030" style="position:absolute;left:1639;top:3893;width:21316;height:18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JasMA&#10;AADaAAAADwAAAGRycy9kb3ducmV2LnhtbESPQWvCQBSE7wX/w/IEL0U3lSoSsxGxSFvppVHQ4yP7&#10;TILZt2F3q/Hfd4VCj8PMfMNkq9604krON5YVvEwSEMSl1Q1XCg777XgBwgdkja1lUnAnD6t88JRh&#10;qu2Nv+lahEpECPsUFdQhdKmUvqzJoJ/Yjjh6Z+sMhihdJbXDW4SbVk6TZC4NNhwXauxoU1N5KX6M&#10;gvekwy+3C2/3w/NJHospfp5mO6VGw369BBGoD//hv/aHVvAK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aJasMAAADaAAAADwAAAAAAAAAAAAAAAACYAgAAZHJzL2Rv&#10;d25yZXYueG1sUEsFBgAAAAAEAAQA9QAAAIgDAAAAAA==&#10;" fillcolor="white [3201]" strokecolor="#4bacc6 [3208]" strokeweight="2pt">
                  <v:textbox>
                    <w:txbxContent>
                      <w:p w14:paraId="23E8A661" w14:textId="77777777" w:rsidR="00601EC9" w:rsidRPr="00A617D9" w:rsidRDefault="00601EC9" w:rsidP="00601EC9">
                        <w:pPr>
                          <w:rPr>
                            <w:b/>
                          </w:rPr>
                        </w:pPr>
                        <w:r w:rsidRPr="00A617D9">
                          <w:rPr>
                            <w:b/>
                          </w:rPr>
                          <w:t>TAXII Services Specification</w:t>
                        </w:r>
                      </w:p>
                      <w:p w14:paraId="2F43A431" w14:textId="77777777" w:rsidR="00601EC9" w:rsidRDefault="00601EC9" w:rsidP="00601EC9">
                        <w:pPr>
                          <w:pStyle w:val="ListParagraph"/>
                          <w:numPr>
                            <w:ilvl w:val="0"/>
                            <w:numId w:val="39"/>
                          </w:numPr>
                        </w:pPr>
                        <w:r>
                          <w:t>Defines TAXII Services</w:t>
                        </w:r>
                      </w:p>
                      <w:p w14:paraId="50FEB42E" w14:textId="77777777" w:rsidR="00601EC9" w:rsidRDefault="00601EC9" w:rsidP="00601EC9">
                        <w:pPr>
                          <w:pStyle w:val="ListParagraph"/>
                          <w:numPr>
                            <w:ilvl w:val="0"/>
                            <w:numId w:val="39"/>
                          </w:numPr>
                        </w:pPr>
                        <w:r>
                          <w:t>Defines TAXII Message Types</w:t>
                        </w:r>
                      </w:p>
                      <w:p w14:paraId="56533462" w14:textId="77777777" w:rsidR="00601EC9" w:rsidRDefault="00601EC9" w:rsidP="00601EC9">
                        <w:pPr>
                          <w:pStyle w:val="ListParagraph"/>
                          <w:numPr>
                            <w:ilvl w:val="0"/>
                            <w:numId w:val="39"/>
                          </w:numPr>
                        </w:pPr>
                        <w:r>
                          <w:t>Defines TAXII Message Exchanges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31" type="#_x0000_t34" style="position:absolute;left:22955;top:6054;width:3806;height:689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EJYcMAAADaAAAADwAAAGRycy9kb3ducmV2LnhtbESPT2sCMRTE74V+h/AKvdWsgq2sRpHa&#10;Qov04P/rI3lu1m5eliTV7bc3hYLHYWZ+w0xmnWvEmUKsPSvo9woQxNqbmisF28370whETMgGG8+k&#10;4JcizKb3dxMsjb/wis7rVIkM4ViiAptSW0oZtSWHsedb4uwdfXCYsgyVNAEvGe4aOSiKZ+mw5rxg&#10;saVXS/p7/eMULPTLGw2T3n9uT63fHbrl0X4FpR4fuvkYRKIu3cL/7Q+jYAh/V/INk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xCWHDAAAA2gAAAA8AAAAAAAAAAAAA&#10;AAAAoQIAAGRycy9kb3ducmV2LnhtbFBLBQYAAAAABAAEAPkAAACRAwAAAAA=&#10;" strokecolor="#4579b8 [3044]" strokeweight="2.25pt">
                  <v:stroke endarrow="open"/>
                </v:shape>
                <v:shape id="Elbow Connector 6" o:spid="_x0000_s1032" type="#_x0000_t34" style="position:absolute;left:22955;top:12951;width:3806;height:758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QU8MAAADaAAAADwAAAGRycy9kb3ducmV2LnhtbESPT4vCMBTE78J+h/CEvYimu4ci1Sgq&#10;CLIHwT8s7O3RPNti81KT2Ha/vREEj8PM/IaZL3tTi5acrywr+JokIIhzqysuFJxP2/EUhA/IGmvL&#10;pOCfPCwXH4M5Ztp2fKD2GAoRIewzVFCG0GRS+rwkg35iG+LoXawzGKJ0hdQOuwg3tfxOklQarDgu&#10;lNjQpqT8erwbBZ3Lfb0ym79tQe3PXo9u69/0ptTnsF/NQATqwzv8au+0ghSeV+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0FPDAAAA2gAAAA8AAAAAAAAAAAAA&#10;AAAAoQIAAGRycy9kb3ducmV2LnhtbFBLBQYAAAAABAAEAPkAAACRAwAAAAA=&#10;" strokecolor="#4579b8 [3044]" strokeweight="2.25pt">
                  <v:stroke endarrow="open"/>
                </v:shape>
                <v:roundrect id="Rounded Rectangle 7" o:spid="_x0000_s1033" style="position:absolute;left:29051;top:2369;width:25241;height:113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XHcMA&#10;AADaAAAADwAAAGRycy9kb3ducmV2LnhtbESPQWvCQBSE7wX/w/IEL0U3FaoSsxGxSFvppVHQ4yP7&#10;TILZt2F3q/Hfd4VCj8PMfMNkq9604krON5YVvEwSEMSl1Q1XCg777XgBwgdkja1lUnAnD6t88JRh&#10;qu2Nv+lahEpECPsUFdQhdKmUvqzJoJ/Yjjh6Z+sMhihdJbXDW4SbVk6TZCYNNhwXauxoU1N5KX6M&#10;gvekwy+3C2/3w/NJHospfp5ed0qNhv16CSJQH/7Df+0PrWAO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QXHcMAAADaAAAADwAAAAAAAAAAAAAAAACYAgAAZHJzL2Rv&#10;d25yZXYueG1sUEsFBgAAAAAEAAQA9QAAAIgDAAAAAA==&#10;" fillcolor="white [3201]" strokecolor="#4bacc6 [3208]" strokeweight="2pt">
                  <v:textbox>
                    <w:txbxContent>
                      <w:p w14:paraId="0B463890"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v:textbox>
                </v:roundrect>
                <v:roundrect id="Rounded Rectangle 8" o:spid="_x0000_s1034" style="position:absolute;left:27904;top:1375;width:25241;height:113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Db78A&#10;AADaAAAADwAAAGRycy9kb3ducmV2LnhtbERPTYvCMBC9C/6HMIIX0XQFZalGEZfFXfGytaDHoRnb&#10;YjMpSVbrvzcHwePjfS/XnWnEjZyvLSv4mCQgiAuray4V5Mfv8ScIH5A1NpZJwYM8rFf93hJTbe/8&#10;R7cslCKGsE9RQRVCm0rpi4oM+oltiSN3sc5giNCVUju8x3DTyGmSzKXBmmNDhS1tKyqu2b9RsEta&#10;PLh9+Hrko7M8ZVP8Pc/2Sg0H3WYBIlAX3uKX+0criFvjlX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4NvvwAAANoAAAAPAAAAAAAAAAAAAAAAAJgCAABkcnMvZG93bnJl&#10;di54bWxQSwUGAAAAAAQABAD1AAAAhAMAAAAA&#10;" fillcolor="white [3201]" strokecolor="#4bacc6 [3208]" strokeweight="2pt">
                  <v:textbox>
                    <w:txbxContent>
                      <w:p w14:paraId="06C278A3" w14:textId="77777777" w:rsidR="00601EC9" w:rsidRDefault="00601EC9" w:rsidP="00601EC9">
                        <w:pPr>
                          <w:pStyle w:val="ListParagraph"/>
                          <w:spacing w:after="0"/>
                          <w:rPr>
                            <w:rFonts w:eastAsia="Times New Roman"/>
                          </w:rPr>
                        </w:pPr>
                      </w:p>
                    </w:txbxContent>
                  </v:textbox>
                </v:roundrect>
                <v:roundrect id="Rounded Rectangle 9" o:spid="_x0000_s1035" style="position:absolute;left:26761;top:360;width:25245;height:113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m9MMA&#10;AADaAAAADwAAAGRycy9kb3ducmV2LnhtbESPQWvCQBSE7wX/w/IEL0U3FSoasxGxSFvppVHQ4yP7&#10;TILZt2F3q/Hfd4VCj8PMfMNkq9604krON5YVvEwSEMSl1Q1XCg777XgOwgdkja1lUnAnD6t88JRh&#10;qu2Nv+lahEpECPsUFdQhdKmUvqzJoJ/Yjjh6Z+sMhihdJbXDW4SbVk6TZCYNNhwXauxoU1N5KX6M&#10;gvekwy+3C2/3w/NJHospfp5ed0qNhv16CSJQH/7Df+0PrWAB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cm9MMAAADaAAAADwAAAAAAAAAAAAAAAACYAgAAZHJzL2Rv&#10;d25yZXYueG1sUEsFBgAAAAAEAAQA9QAAAIgDAAAAAA==&#10;" fillcolor="white [3201]" strokecolor="#4bacc6 [3208]" strokeweight="2pt">
                  <v:textbox>
                    <w:txbxContent>
                      <w:p w14:paraId="628F9CC6" w14:textId="77777777" w:rsidR="00601EC9" w:rsidRPr="00A617D9" w:rsidRDefault="00601EC9" w:rsidP="00601EC9">
                        <w:pPr>
                          <w:rPr>
                            <w:b/>
                          </w:rPr>
                        </w:pPr>
                        <w:r w:rsidRPr="00A617D9">
                          <w:rPr>
                            <w:b/>
                          </w:rPr>
                          <w:t xml:space="preserve">TAXII Protocol </w:t>
                        </w:r>
                        <w:r>
                          <w:rPr>
                            <w:b/>
                          </w:rPr>
                          <w:t>Binding</w:t>
                        </w:r>
                        <w:r w:rsidRPr="00A617D9">
                          <w:rPr>
                            <w:b/>
                          </w:rPr>
                          <w:t xml:space="preserve"> Specification</w:t>
                        </w:r>
                        <w:r>
                          <w:rPr>
                            <w:b/>
                          </w:rPr>
                          <w:t>s</w:t>
                        </w:r>
                      </w:p>
                      <w:p w14:paraId="3A7E49BF" w14:textId="77777777" w:rsidR="00601EC9" w:rsidRDefault="00601EC9" w:rsidP="00601EC9">
                        <w:pPr>
                          <w:pStyle w:val="ListParagraph"/>
                          <w:numPr>
                            <w:ilvl w:val="0"/>
                            <w:numId w:val="40"/>
                          </w:numPr>
                        </w:pPr>
                        <w:r>
                          <w:t>Define requirements for network transport of TAXII Messages</w:t>
                        </w:r>
                      </w:p>
                    </w:txbxContent>
                  </v:textbox>
                </v:roundrect>
                <v:roundrect id="Rounded Rectangle 10" o:spid="_x0000_s1036" style="position:absolute;left:28758;top:16730;width:25241;height:11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LpcQA&#10;AADbAAAADwAAAGRycy9kb3ducmV2LnhtbESPQWvCQBCF7wX/wzKCl6KbCi0luopYiq300ijocciO&#10;STA7G3a3Gv995yB4m+G9ee+b+bJ3rbpQiI1nAy+TDBRx6W3DlYH97nP8DiomZIutZzJwowjLxeBp&#10;jrn1V/6lS5EqJSEcczRQp9TlWseyJodx4jti0U4+OEyyhkrbgFcJd62eZtmbdtiwNNTY0bqm8lz8&#10;OQObrMOfsE0ft/3zUR+KKX4fX7fGjIb9agYqUZ8e5vv1l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y6XEAAAA2wAAAA8AAAAAAAAAAAAAAAAAmAIAAGRycy9k&#10;b3ducmV2LnhtbFBLBQYAAAAABAAEAPUAAACJAwAAAAA=&#10;" fillcolor="white [3201]" strokecolor="#4bacc6 [3208]" strokeweight="2pt">
                  <v:textbox>
                    <w:txbxContent>
                      <w:p w14:paraId="40A76E90"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v:textbox>
                </v:roundrect>
                <v:roundrect id="Rounded Rectangle 11" o:spid="_x0000_s1037" style="position:absolute;left:27708;top:15775;width:25241;height:113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NpsIA&#10;AADbAAAADwAAAGRycy9kb3ducmV2LnhtbERPTWvCQBC9F/wPywheim4qVSRmI2KRttJLo6DHITsm&#10;wexs2N1q/PddodDbPN7nZKvetOJKzjeWFbxMEhDEpdUNVwoO++14AcIHZI2tZVJwJw+rfPCUYart&#10;jb/pWoRKxBD2KSqoQ+hSKX1Zk0E/sR1x5M7WGQwRukpqh7cYblo5TZK5NNhwbKixo01N5aX4MQre&#10;kw6/3C683Q/PJ3kspvh5mu2UGg379RJEoD78i//cHzrOf4XH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M2mwgAAANsAAAAPAAAAAAAAAAAAAAAAAJgCAABkcnMvZG93&#10;bnJldi54bWxQSwUGAAAAAAQABAD1AAAAhwMAAAAA&#10;" fillcolor="white [3201]" strokecolor="#4bacc6 [3208]" strokeweight="2pt">
                  <v:textbox>
                    <w:txbxContent>
                      <w:p w14:paraId="038E699D"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v:textbox>
                </v:roundrect>
                <v:roundrect id="Rounded Rectangle 12" o:spid="_x0000_s1038" style="position:absolute;left:26761;top:14912;width:25245;height:112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oPcEA&#10;AADbAAAADwAAAGRycy9kb3ducmV2LnhtbERPS4vCMBC+L/gfwgheRFMFRbpGEUV84MUqrMehmW3L&#10;NpOSRK3/frMg7G0+vufMl62pxYOcrywrGA0TEMS51RUXCq6X7WAGwgdkjbVlUvAiD8tF52OOqbZP&#10;PtMjC4WIIexTVFCG0KRS+rwkg35oG+LIfVtnMEToCqkdPmO4qeU4SabSYMWxocSG1iXlP9ndKNgl&#10;DZ7cMWxe1/5NfmVjPNwmR6V63Xb1CSJQG/7Fb/dex/k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EaD3BAAAA2wAAAA8AAAAAAAAAAAAAAAAAmAIAAGRycy9kb3du&#10;cmV2LnhtbFBLBQYAAAAABAAEAPUAAACGAwAAAAA=&#10;" fillcolor="white [3201]" strokecolor="#4bacc6 [3208]" strokeweight="2pt">
                  <v:textbox>
                    <w:txbxContent>
                      <w:p w14:paraId="1BE205C9" w14:textId="77777777" w:rsidR="00601EC9" w:rsidRPr="00A617D9" w:rsidRDefault="00601EC9" w:rsidP="00601EC9">
                        <w:pPr>
                          <w:rPr>
                            <w:b/>
                          </w:rPr>
                        </w:pPr>
                        <w:r w:rsidRPr="00A617D9">
                          <w:rPr>
                            <w:b/>
                          </w:rPr>
                          <w:t xml:space="preserve">TAXII Message </w:t>
                        </w:r>
                        <w:r>
                          <w:rPr>
                            <w:b/>
                          </w:rPr>
                          <w:t>Binding</w:t>
                        </w:r>
                        <w:r w:rsidRPr="00A617D9">
                          <w:rPr>
                            <w:b/>
                          </w:rPr>
                          <w:t xml:space="preserve"> Specification</w:t>
                        </w:r>
                        <w:r>
                          <w:rPr>
                            <w:b/>
                          </w:rPr>
                          <w:t>s</w:t>
                        </w:r>
                      </w:p>
                      <w:p w14:paraId="49049ED9" w14:textId="77777777" w:rsidR="00601EC9" w:rsidRPr="00771FBB" w:rsidRDefault="00601EC9" w:rsidP="00601EC9">
                        <w:pPr>
                          <w:pStyle w:val="ListParagraph"/>
                          <w:numPr>
                            <w:ilvl w:val="0"/>
                            <w:numId w:val="41"/>
                          </w:numPr>
                          <w:rPr>
                            <w:rFonts w:eastAsia="Times New Roman"/>
                          </w:rPr>
                        </w:pPr>
                        <w:r w:rsidRPr="00771FBB">
                          <w:rPr>
                            <w:rFonts w:eastAsia="Calibri"/>
                          </w:rPr>
                          <w:t>Define TAXII Message format bindings</w:t>
                        </w:r>
                      </w:p>
                    </w:txbxContent>
                  </v:textbox>
                </v:roundrect>
                <v:roundrect id="Rounded Rectangle 13" o:spid="_x0000_s1039" style="position:absolute;left:28759;top:32662;width:25241;height:11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2SsEA&#10;AADbAAAADwAAAGRycy9kb3ducmV2LnhtbERPS4vCMBC+C/6HMIKXRdMVVpZqFHERH+xlq6DHoRnb&#10;YjMpSdT67zeC4G0+vudM562pxY2crywr+BwmIIhzqysuFBz2q8E3CB+QNdaWScGDPMxn3c4UU23v&#10;/Ee3LBQihrBPUUEZQpNK6fOSDPqhbYgjd7bOYIjQFVI7vMdwU8tRkoylwYpjQ4kNLUvKL9nVKFgn&#10;Df66Xfh5HD5O8piNcHv62inV77WLCYhAbXiLX+6NjvPH8PwlHi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9krBAAAA2wAAAA8AAAAAAAAAAAAAAAAAmAIAAGRycy9kb3du&#10;cmV2LnhtbFBLBQYAAAAABAAEAPUAAACGAwAAAAA=&#10;" fillcolor="white [3201]" strokecolor="#4bacc6 [3208]" strokeweight="2pt">
                  <v:textbox>
                    <w:txbxContent>
                      <w:p w14:paraId="58E1095E"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v:textbox>
                </v:roundrect>
                <v:roundrect id="Rounded Rectangle 14" o:spid="_x0000_s1040" style="position:absolute;left:27711;top:31710;width:25241;height:113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T0cIA&#10;AADbAAAADwAAAGRycy9kb3ducmV2LnhtbERPTWvCQBC9F/wPywheim4qVCVmI2KRttJLo6DHITsm&#10;wexs2N1q/PddodDbPN7nZKvetOJKzjeWFbxMEhDEpdUNVwoO++14AcIHZI2tZVJwJw+rfPCUYart&#10;jb/pWoRKxBD2KSqoQ+hSKX1Zk0E/sR1x5M7WGQwRukpqh7cYblo5TZKZNNhwbKixo01N5aX4MQre&#10;kw6/3C683Q/PJ3kspvh5et0pNRr26yWIQH34F/+5P3ScP4fH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lPRwgAAANsAAAAPAAAAAAAAAAAAAAAAAJgCAABkcnMvZG93&#10;bnJldi54bWxQSwUGAAAAAAQABAD1AAAAhwMAAAAA&#10;" fillcolor="white [3201]" strokecolor="#4bacc6 [3208]" strokeweight="2pt">
                  <v:textbox>
                    <w:txbxContent>
                      <w:p w14:paraId="1751B982" w14:textId="77777777" w:rsidR="00601EC9" w:rsidRDefault="00601EC9" w:rsidP="00601EC9">
                        <w:pPr>
                          <w:pStyle w:val="NormalWeb"/>
                          <w:spacing w:before="0" w:beforeAutospacing="0" w:after="0" w:afterAutospacing="0" w:line="276" w:lineRule="auto"/>
                          <w:ind w:left="720"/>
                        </w:pPr>
                        <w:r>
                          <w:rPr>
                            <w:rFonts w:eastAsia="Times New Roman"/>
                            <w:sz w:val="22"/>
                            <w:szCs w:val="22"/>
                          </w:rPr>
                          <w:t> </w:t>
                        </w:r>
                      </w:p>
                    </w:txbxContent>
                  </v:textbox>
                </v:roundrect>
                <v:roundrect id="Rounded Rectangle 15" o:spid="_x0000_s1041" style="position:absolute;left:26765;top:30846;width:25241;height:11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Ho8QA&#10;AADbAAAADwAAAGRycy9kb3ducmV2LnhtbESPQWvCQBCF7wX/wzKCl6KbCi0luopYiq300ijocciO&#10;STA7G3a3Gv995yB4m+G9ee+b+bJ3rbpQiI1nAy+TDBRx6W3DlYH97nP8DiomZIutZzJwowjLxeBp&#10;jrn1V/6lS5EqJSEcczRQp9TlWseyJodx4jti0U4+OEyyhkrbgFcJd62eZtmbdtiwNNTY0bqm8lz8&#10;OQObrMOfsE0ft/3zUR+KKX4fX7fGjIb9agYqUZ8e5vv1l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x6PEAAAA2wAAAA8AAAAAAAAAAAAAAAAAmAIAAGRycy9k&#10;b3ducmV2LnhtbFBLBQYAAAAABAAEAPUAAACJAwAAAAA=&#10;" fillcolor="white [3201]" strokecolor="#4bacc6 [3208]" strokeweight="2pt">
                  <v:textbox>
                    <w:txbxContent>
                      <w:p w14:paraId="6812A612" w14:textId="77777777" w:rsidR="00601EC9" w:rsidRPr="00A0455E" w:rsidRDefault="00601EC9" w:rsidP="00601EC9">
                        <w:pPr>
                          <w:rPr>
                            <w:b/>
                          </w:rPr>
                        </w:pPr>
                        <w:r w:rsidRPr="00A0455E">
                          <w:rPr>
                            <w:b/>
                          </w:rPr>
                          <w:t xml:space="preserve">TAXII </w:t>
                        </w:r>
                        <w:r>
                          <w:rPr>
                            <w:b/>
                          </w:rPr>
                          <w:t>Query</w:t>
                        </w:r>
                        <w:r w:rsidRPr="00A0455E">
                          <w:rPr>
                            <w:b/>
                          </w:rPr>
                          <w:t xml:space="preserve"> </w:t>
                        </w:r>
                        <w:r>
                          <w:rPr>
                            <w:b/>
                          </w:rPr>
                          <w:t>Format</w:t>
                        </w:r>
                        <w:r w:rsidRPr="00A0455E">
                          <w:rPr>
                            <w:b/>
                          </w:rPr>
                          <w:t xml:space="preserve"> Specifications</w:t>
                        </w:r>
                      </w:p>
                      <w:p w14:paraId="2E79E698" w14:textId="77777777" w:rsidR="00601EC9" w:rsidRPr="00A0455E" w:rsidRDefault="00601EC9" w:rsidP="00601EC9">
                        <w:pPr>
                          <w:pStyle w:val="ListParagraph"/>
                          <w:numPr>
                            <w:ilvl w:val="0"/>
                            <w:numId w:val="43"/>
                          </w:numPr>
                          <w:ind w:left="360"/>
                          <w:rPr>
                            <w:rFonts w:eastAsia="Times New Roman"/>
                          </w:rPr>
                        </w:pPr>
                        <w:r w:rsidRPr="00A0455E">
                          <w:rPr>
                            <w:rFonts w:eastAsia="Calibri"/>
                          </w:rPr>
                          <w:t xml:space="preserve">Define </w:t>
                        </w:r>
                        <w:r>
                          <w:rPr>
                            <w:rFonts w:eastAsia="Calibri"/>
                          </w:rPr>
                          <w:t>Query Format details</w:t>
                        </w:r>
                      </w:p>
                    </w:txbxContent>
                  </v:textbox>
                </v:roundrect>
                <v:roundrect id="Rounded Rectangle 16" o:spid="_x0000_s1042" style="position:absolute;left:942;top:30846;width:22965;height:112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iOMIA&#10;AADbAAAADwAAAGRycy9kb3ducmV2LnhtbERPTWvCQBC9F/wPywheim4qVDRmI2KRttJLo6DHITsm&#10;wexs2N1q/PddodDbPN7nZKvetOJKzjeWFbxMEhDEpdUNVwoO++14DsIHZI2tZVJwJw+rfPCUYart&#10;jb/pWoRKxBD2KSqoQ+hSKX1Zk0E/sR1x5M7WGQwRukpqh7cYblo5TZKZNNhwbKixo01N5aX4MQre&#10;kw6/3C683Q/PJ3kspvh5et0pNRr26yWIQH34F/+5P3Scv4DH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WI4wgAAANsAAAAPAAAAAAAAAAAAAAAAAJgCAABkcnMvZG93&#10;bnJldi54bWxQSwUGAAAAAAQABAD1AAAAhwMAAAAA&#10;" fillcolor="white [3201]" strokecolor="#4bacc6 [3208]" strokeweight="2pt">
                  <v:textbox>
                    <w:txbxContent>
                      <w:p w14:paraId="53EF0C36" w14:textId="77777777" w:rsidR="00601EC9" w:rsidRDefault="00601EC9" w:rsidP="00601EC9">
                        <w:pPr>
                          <w:rPr>
                            <w:b/>
                          </w:rPr>
                        </w:pPr>
                        <w:r w:rsidRPr="00120333">
                          <w:rPr>
                            <w:b/>
                          </w:rPr>
                          <w:t>TAXII Content Binding Reference</w:t>
                        </w:r>
                      </w:p>
                      <w:p w14:paraId="14B4588C" w14:textId="77777777" w:rsidR="00601EC9" w:rsidRPr="00120333" w:rsidRDefault="00601EC9" w:rsidP="00601EC9">
                        <w:pPr>
                          <w:pStyle w:val="ListParagraph"/>
                          <w:numPr>
                            <w:ilvl w:val="0"/>
                            <w:numId w:val="44"/>
                          </w:numPr>
                          <w:ind w:left="360"/>
                          <w:rPr>
                            <w:b/>
                          </w:rPr>
                        </w:pPr>
                        <w:r>
                          <w:t>Define Content Binding ID values</w:t>
                        </w:r>
                      </w:p>
                    </w:txbxContent>
                  </v:textbox>
                </v:roundrect>
                <v:shape id="Elbow Connector 17" o:spid="_x0000_s1043" type="#_x0000_t34" style="position:absolute;left:37043;top:28503;width:4684;height: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gpC70AAADbAAAADwAAAGRycy9kb3ducmV2LnhtbERPuwrCMBTdBf8hXMFNUx1EqlFUEARx&#10;8FF1vDbXttjclCZq/XszCI6H857OG1OKF9WusKxg0I9AEKdWF5wpOB3XvTEI55E1lpZJwYcczGft&#10;1hRjbd+8p9fBZyKEsItRQe59FUvp0pwMur6tiAN3t7VBH2CdSV3jO4SbUg6jaCQNFhwacqxolVP6&#10;ODyNgmRQ2bu7ni/RbaeXWy6S3f6cKNXtNIsJCE+N/4t/7o1WMAzrw5fwA+Ts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64KQu9AAAA2wAAAA8AAAAAAAAAAAAAAAAAoQIA&#10;AGRycy9kb3ducmV2LnhtbFBLBQYAAAAABAAEAPkAAACLAwAAAAA=&#10;" strokecolor="#4579b8 [3044]" strokeweight="2.25pt">
                  <v:stroke dashstyle="dash" startarrow="open"/>
                </v:shape>
                <w10:anchorlock/>
              </v:group>
            </w:pict>
          </mc:Fallback>
        </mc:AlternateContent>
      </w:r>
    </w:p>
    <w:p w14:paraId="51A78C2D" w14:textId="32B8FEAE" w:rsidR="00601EC9" w:rsidRDefault="00601EC9" w:rsidP="00601EC9">
      <w:pPr>
        <w:pStyle w:val="Caption"/>
        <w:jc w:val="center"/>
      </w:pPr>
      <w:bookmarkStart w:id="8" w:name="_Ref338318904"/>
      <w:r>
        <w:t xml:space="preserve">Figure </w:t>
      </w:r>
      <w:fldSimple w:instr=" SEQ Figure \* ARABIC ">
        <w:r w:rsidR="004D5914">
          <w:rPr>
            <w:noProof/>
          </w:rPr>
          <w:t>4</w:t>
        </w:r>
      </w:fldSimple>
      <w:bookmarkEnd w:id="8"/>
      <w:r>
        <w:t xml:space="preserve"> - TAXII</w:t>
      </w:r>
      <w:r w:rsidR="0070505C">
        <w:t>™</w:t>
      </w:r>
      <w:r>
        <w:t xml:space="preserve"> Specification Hierarchy</w:t>
      </w:r>
    </w:p>
    <w:p w14:paraId="23B98D71" w14:textId="77777777" w:rsidR="00601EC9" w:rsidRDefault="00601EC9" w:rsidP="00601EC9">
      <w:r>
        <w:t>Separation of the TAXII Specifications exists to support flexibility as TAXII evolves. Threat information sharing communities often have specific constraints on the types of network protocols and message formats they are able to support, the types of content they can exchange, and the types of queries their infrastructure can support. Rather than tying TAXII to a specific mechanism that excludes portions of the community, TAXII's core concepts (i.e., its services and exchanges) are defined separately from the implementation details of those concepts.</w:t>
      </w:r>
      <w:r w:rsidDel="004A63AA">
        <w:t xml:space="preserve"> </w:t>
      </w:r>
      <w:r>
        <w:t xml:space="preserve">When there is a need for a new binding, it can be created, either as part of a new official release of TAXII or as a third-party extension for TAXII, without affecting TAXII's core components. Groups that use different protocol or message bindings for TAXII will not be able to communicate directly with each other, but because they are still using TAXII Messages and </w:t>
      </w:r>
      <w:r>
        <w:lastRenderedPageBreak/>
        <w:t xml:space="preserve">Services at the core of their communications it is possible to create gateways that will allow interaction to occur. </w:t>
      </w:r>
    </w:p>
    <w:p w14:paraId="2073DB87" w14:textId="77777777" w:rsidR="00601EC9" w:rsidRDefault="00601EC9" w:rsidP="00601EC9">
      <w:pPr>
        <w:pStyle w:val="Heading3"/>
        <w:numPr>
          <w:ilvl w:val="2"/>
          <w:numId w:val="18"/>
        </w:numPr>
      </w:pPr>
      <w:bookmarkStart w:id="9" w:name="_Toc375291621"/>
      <w:bookmarkStart w:id="10" w:name="_Toc431898798"/>
      <w:bookmarkStart w:id="11" w:name="_Toc450734055"/>
      <w:r>
        <w:t>Suggested Reading Order</w:t>
      </w:r>
      <w:bookmarkEnd w:id="9"/>
      <w:bookmarkEnd w:id="10"/>
      <w:bookmarkEnd w:id="11"/>
    </w:p>
    <w:p w14:paraId="17B99BB8" w14:textId="77777777" w:rsidR="00601EC9" w:rsidRDefault="00601EC9" w:rsidP="00601EC9">
      <w:r>
        <w:t>For those wishing to become familiar with TAXII, this section suggests reading the TAXII documents in a specific order. The documents build on each other, so following the suggested reading order can make understanding TAXII easier:</w:t>
      </w:r>
    </w:p>
    <w:p w14:paraId="469794DF" w14:textId="77777777" w:rsidR="00601EC9" w:rsidRDefault="00601EC9" w:rsidP="00601EC9">
      <w:pPr>
        <w:pStyle w:val="ListParagraph"/>
        <w:numPr>
          <w:ilvl w:val="0"/>
          <w:numId w:val="42"/>
        </w:numPr>
      </w:pPr>
      <w:r>
        <w:t>The TAXII Overview (this document)</w:t>
      </w:r>
    </w:p>
    <w:p w14:paraId="4036FD3D" w14:textId="77777777" w:rsidR="00601EC9" w:rsidRDefault="00601EC9" w:rsidP="00601EC9">
      <w:pPr>
        <w:pStyle w:val="ListParagraph"/>
        <w:numPr>
          <w:ilvl w:val="0"/>
          <w:numId w:val="42"/>
        </w:numPr>
      </w:pPr>
      <w:r>
        <w:t>The TAXII Services Specification</w:t>
      </w:r>
    </w:p>
    <w:p w14:paraId="189DD8EA" w14:textId="77777777" w:rsidR="00601EC9" w:rsidRDefault="00601EC9" w:rsidP="00601EC9">
      <w:pPr>
        <w:pStyle w:val="ListParagraph"/>
        <w:numPr>
          <w:ilvl w:val="0"/>
          <w:numId w:val="42"/>
        </w:numPr>
      </w:pPr>
      <w:r>
        <w:t>Protocol and/or Message Binding Specifications based on requirements to support a given format or protocol</w:t>
      </w:r>
    </w:p>
    <w:p w14:paraId="7A9754FB" w14:textId="77777777" w:rsidR="00601EC9" w:rsidRDefault="00601EC9" w:rsidP="00601EC9">
      <w:pPr>
        <w:pStyle w:val="ListParagraph"/>
        <w:numPr>
          <w:ilvl w:val="0"/>
          <w:numId w:val="42"/>
        </w:numPr>
      </w:pPr>
      <w:r>
        <w:t>Query Format Specifications based on requirements to support a given query model</w:t>
      </w:r>
    </w:p>
    <w:p w14:paraId="1AA4286F" w14:textId="77777777" w:rsidR="00601EC9" w:rsidRDefault="00601EC9" w:rsidP="00601EC9">
      <w:r>
        <w:t>The Content Binding Reference can simply be consulted as needed to identify appropriate Content Binding ID values. The Content Binding Reference serves as a dictionary of Content Binding IDs and is generally not read beginning-to-end.</w:t>
      </w:r>
    </w:p>
    <w:p w14:paraId="26AFD88F" w14:textId="77777777" w:rsidR="00601EC9" w:rsidRPr="00CF56FA" w:rsidRDefault="00601EC9" w:rsidP="00601EC9"/>
    <w:p w14:paraId="43139C33" w14:textId="77777777" w:rsidR="00601EC9" w:rsidRDefault="00601EC9" w:rsidP="00601EC9">
      <w:pPr>
        <w:pStyle w:val="Heading2"/>
        <w:numPr>
          <w:ilvl w:val="1"/>
          <w:numId w:val="18"/>
        </w:numPr>
      </w:pPr>
      <w:bookmarkStart w:id="12" w:name="_Toc431898799"/>
      <w:bookmarkStart w:id="13" w:name="_Toc450734056"/>
      <w:r>
        <w:t>Specification Versioning</w:t>
      </w:r>
      <w:bookmarkEnd w:id="12"/>
      <w:bookmarkEnd w:id="13"/>
    </w:p>
    <w:p w14:paraId="625C177C" w14:textId="77777777" w:rsidR="00601EC9" w:rsidRPr="002B7F46" w:rsidRDefault="00601EC9" w:rsidP="00601EC9">
      <w:r>
        <w:t xml:space="preserve">Changes to TAXII Specifications that impact content or tools are indicated by either a Major release or a Minor release. </w:t>
      </w:r>
    </w:p>
    <w:p w14:paraId="01FDCA6A" w14:textId="77777777" w:rsidR="00601EC9" w:rsidRDefault="00601EC9" w:rsidP="00601EC9">
      <w:r>
        <w:t>Major release - A major release incorporates changes that require breaking backward compatibility with previous versions or represent fundamental changes to concepts. For a major release, the MAJOR version is incremented by one and the MINOR version is set to zero.</w:t>
      </w:r>
    </w:p>
    <w:p w14:paraId="004AFA3C" w14:textId="77777777" w:rsidR="00601EC9" w:rsidRDefault="00601EC9" w:rsidP="00601EC9">
      <w:r>
        <w:t>Minor release - A minor release incorporates changes</w:t>
      </w:r>
      <w:r w:rsidDel="00B047D3">
        <w:t xml:space="preserve"> </w:t>
      </w:r>
      <w:r>
        <w:t>that do not break backward compatibility with previous versions. For a minor release, the MINOR component is incremented by one.</w:t>
      </w:r>
    </w:p>
    <w:p w14:paraId="576E8C57" w14:textId="77777777" w:rsidR="00601EC9" w:rsidRPr="00C22045" w:rsidRDefault="00601EC9" w:rsidP="00601EC9"/>
    <w:p w14:paraId="470ACD73" w14:textId="77777777" w:rsidR="00601EC9" w:rsidRDefault="00601EC9" w:rsidP="00601EC9">
      <w:pPr>
        <w:pStyle w:val="Heading2"/>
        <w:numPr>
          <w:ilvl w:val="1"/>
          <w:numId w:val="18"/>
        </w:numPr>
      </w:pPr>
      <w:bookmarkStart w:id="14" w:name="_Toc431898800"/>
      <w:bookmarkStart w:id="15" w:name="_Toc450734057"/>
      <w:r>
        <w:t>Terms and Definitions</w:t>
      </w:r>
      <w:bookmarkEnd w:id="14"/>
      <w:bookmarkEnd w:id="15"/>
    </w:p>
    <w:p w14:paraId="04789B49" w14:textId="77777777" w:rsidR="00601EC9" w:rsidRDefault="00601EC9" w:rsidP="00601EC9">
      <w:r>
        <w:t>This section defines terms that are assigned a specific meaning within all TAXII specifications.</w:t>
      </w:r>
    </w:p>
    <w:p w14:paraId="21E9DF37" w14:textId="281DABC9" w:rsidR="00601EC9" w:rsidRPr="0087011A" w:rsidRDefault="00601EC9" w:rsidP="00601EC9">
      <w:pPr>
        <w:pStyle w:val="Heading3"/>
        <w:numPr>
          <w:ilvl w:val="2"/>
          <w:numId w:val="18"/>
        </w:numPr>
      </w:pPr>
      <w:bookmarkStart w:id="16" w:name="_Toc375291624"/>
      <w:bookmarkStart w:id="17" w:name="_Toc431898801"/>
      <w:bookmarkStart w:id="18" w:name="_Toc450734058"/>
      <w:r>
        <w:t>TAXII</w:t>
      </w:r>
      <w:r w:rsidR="0070505C">
        <w:rPr>
          <w:sz w:val="28"/>
          <w:szCs w:val="28"/>
        </w:rPr>
        <w:t>™</w:t>
      </w:r>
      <w:r>
        <w:t xml:space="preserve"> Roles</w:t>
      </w:r>
      <w:bookmarkEnd w:id="16"/>
      <w:bookmarkEnd w:id="17"/>
      <w:bookmarkEnd w:id="18"/>
    </w:p>
    <w:p w14:paraId="24251474" w14:textId="77777777" w:rsidR="00601EC9" w:rsidRPr="000C358E" w:rsidRDefault="00601EC9" w:rsidP="00601EC9">
      <w:r>
        <w:t xml:space="preserve">TAXII Roles are used to denote participants in TAXII according to their high-level objectives in the use of TAXII Services. </w:t>
      </w:r>
    </w:p>
    <w:p w14:paraId="3D8E66F4" w14:textId="77777777" w:rsidR="00601EC9" w:rsidRDefault="00601EC9" w:rsidP="00601EC9">
      <w:r>
        <w:rPr>
          <w:b/>
        </w:rPr>
        <w:t>Producer</w:t>
      </w:r>
      <w:r>
        <w:t xml:space="preserve"> - An entity (e.g., a person, organization, agency, etc.) that is the source of structured cyber threat information.</w:t>
      </w:r>
    </w:p>
    <w:p w14:paraId="1B107D0E" w14:textId="77777777" w:rsidR="00601EC9" w:rsidRDefault="00601EC9" w:rsidP="00601EC9">
      <w:r>
        <w:rPr>
          <w:b/>
        </w:rPr>
        <w:t>Consumer</w:t>
      </w:r>
      <w:r>
        <w:t xml:space="preserve"> - An entity that is the recipient of structured cyber threat information.</w:t>
      </w:r>
    </w:p>
    <w:p w14:paraId="629A3077" w14:textId="77777777" w:rsidR="00601EC9" w:rsidRDefault="00601EC9" w:rsidP="00601EC9">
      <w:r>
        <w:t>Note that these roles are not mutually exclusive - one entity might be both a Consumer and a Producer of structured cyber threat information.</w:t>
      </w:r>
    </w:p>
    <w:p w14:paraId="50422FC7" w14:textId="5230521E" w:rsidR="00601EC9" w:rsidRDefault="00601EC9" w:rsidP="00601EC9">
      <w:pPr>
        <w:pStyle w:val="Heading3"/>
        <w:numPr>
          <w:ilvl w:val="2"/>
          <w:numId w:val="18"/>
        </w:numPr>
      </w:pPr>
      <w:bookmarkStart w:id="19" w:name="_Toc375291625"/>
      <w:bookmarkStart w:id="20" w:name="_Toc431898802"/>
      <w:bookmarkStart w:id="21" w:name="_Toc450734059"/>
      <w:r>
        <w:t>TAXII</w:t>
      </w:r>
      <w:r w:rsidR="0070505C">
        <w:rPr>
          <w:sz w:val="28"/>
          <w:szCs w:val="28"/>
        </w:rPr>
        <w:t>™</w:t>
      </w:r>
      <w:r>
        <w:t xml:space="preserve"> Functional Units</w:t>
      </w:r>
      <w:bookmarkEnd w:id="19"/>
      <w:bookmarkEnd w:id="20"/>
      <w:bookmarkEnd w:id="21"/>
    </w:p>
    <w:p w14:paraId="162FCA60" w14:textId="77777777" w:rsidR="00601EC9" w:rsidRPr="00C90982" w:rsidRDefault="00601EC9" w:rsidP="00601EC9">
      <w:r>
        <w:t>TAXII functional units represent discrete sets of functionality required to support TAXII. Note that this does not mean that separate software is needed for each functional unit - a single software application could encompass multiple functional units or multiple applications could cooperate to serve as a single functional unit. A functional unit simply represents some component with a well-defined role in TAXII.</w:t>
      </w:r>
    </w:p>
    <w:p w14:paraId="427379A0" w14:textId="77777777" w:rsidR="00601EC9" w:rsidRDefault="00601EC9" w:rsidP="00601EC9">
      <w:r>
        <w:rPr>
          <w:b/>
        </w:rPr>
        <w:t>TAXII Transfer Agent (TTA)</w:t>
      </w:r>
      <w:r>
        <w:t xml:space="preserve"> - A network-connected functional unit that sends and/or receives TAXII Messages. A TTA interacts with other TTAs over the network and handles the details of the protocol requirements from one or more TAXII Protocol Binding Specifications. A TTA provides TAXII Messages to </w:t>
      </w:r>
      <w:r>
        <w:lastRenderedPageBreak/>
        <w:t>a TAXII Message Handler (defined below) allowing the TAXII Message Handler to be agnostic to the utilized network protocol. By the same token, the TTA can be agnostic as to the content of TAXII Messages, leaving the handling of this information to the TAXII Message Handler.</w:t>
      </w:r>
    </w:p>
    <w:p w14:paraId="630DC42B" w14:textId="77777777" w:rsidR="00601EC9" w:rsidRPr="00776C61" w:rsidRDefault="00601EC9" w:rsidP="00601EC9">
      <w:r>
        <w:rPr>
          <w:b/>
        </w:rPr>
        <w:t>TAXII Message Handler (TMH)</w:t>
      </w:r>
      <w:r>
        <w:t xml:space="preserve"> - A functional unit that produces and consumes TAXII Messages. The TMH is responsible for parsing inbound TAXII Messages and constructing outbound TAXII Messages in conformance with one or more TAXII Message Binding Specifications. A TMH interacts with the TTA, which handles the details required to transmit those messages over the network. The TAXII Back-end interacts with the TMH to turn the information from the Back-end into TAXII Messages and to perform activities based on the TAXII Messages that the TMH receives.</w:t>
      </w:r>
    </w:p>
    <w:p w14:paraId="222B85AE" w14:textId="77777777" w:rsidR="00601EC9" w:rsidRDefault="00601EC9" w:rsidP="00601EC9">
      <w:r>
        <w:rPr>
          <w:b/>
        </w:rPr>
        <w:t xml:space="preserve">TAXII Back-end </w:t>
      </w:r>
      <w:r>
        <w:t>- A term covering all functional units in a TAXII architecture other than the TTA and the TMH. This could cover data storage, subscription management, access control decisions, filtering of content prior to dissemination, and other activities. The TAXII specifications provide no requirements on how capabilities are implemented in a TAXII Back-end beyond noting that TAXII Back-ends need to be able to interact with a TMH. Individual implementers and organizations can decide which TAXII Back-end capabilities are necessary given the TAXII Services they wish to support and how they wish to provide this support.</w:t>
      </w:r>
      <w:r w:rsidDel="00C90982">
        <w:t xml:space="preserve"> </w:t>
      </w:r>
    </w:p>
    <w:p w14:paraId="7AB438CD" w14:textId="77777777" w:rsidR="00601EC9" w:rsidRDefault="00601EC9" w:rsidP="00601EC9">
      <w:r>
        <w:rPr>
          <w:b/>
        </w:rPr>
        <w:t>TAXII Architecture</w:t>
      </w:r>
      <w:r>
        <w:t xml:space="preserve"> - The term TAXII Architecture covers all functional units of a single Producer or Consumer's infrastructure that provide and/or utilize TAXII Services. A TAXII Architecture includes a TTA, a TMH, and a TAXII Back-end. As noted above, implementation details of a TAXII Back-end are outside of the scope of the TAXII specifications. </w:t>
      </w:r>
    </w:p>
    <w:p w14:paraId="6EF41372" w14:textId="77777777" w:rsidR="00601EC9" w:rsidRDefault="00601EC9" w:rsidP="00601EC9">
      <w:pPr>
        <w:keepNext/>
      </w:pPr>
      <w:r>
        <w:rPr>
          <w:noProof/>
        </w:rPr>
        <mc:AlternateContent>
          <mc:Choice Requires="wpc">
            <w:drawing>
              <wp:inline distT="0" distB="0" distL="0" distR="0" wp14:anchorId="4A342E44" wp14:editId="4EDFBF58">
                <wp:extent cx="5486400" cy="3419475"/>
                <wp:effectExtent l="0" t="0" r="0" b="0"/>
                <wp:docPr id="278" name="Canvas 9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4" name="Rounded Rectangle 9"/>
                        <wps:cNvSpPr/>
                        <wps:spPr>
                          <a:xfrm>
                            <a:off x="3056550" y="75211"/>
                            <a:ext cx="2276475" cy="3275965"/>
                          </a:xfrm>
                          <a:prstGeom prst="roundRect">
                            <a:avLst>
                              <a:gd name="adj" fmla="val 9136"/>
                            </a:avLst>
                          </a:prstGeom>
                        </wps:spPr>
                        <wps:style>
                          <a:lnRef idx="2">
                            <a:schemeClr val="accent6"/>
                          </a:lnRef>
                          <a:fillRef idx="1">
                            <a:schemeClr val="lt1"/>
                          </a:fillRef>
                          <a:effectRef idx="0">
                            <a:schemeClr val="accent6"/>
                          </a:effectRef>
                          <a:fontRef idx="minor">
                            <a:schemeClr val="dk1"/>
                          </a:fontRef>
                        </wps:style>
                        <wps:txbx>
                          <w:txbxContent>
                            <w:p w14:paraId="0894F68F" w14:textId="77777777" w:rsidR="00601EC9" w:rsidRDefault="00601EC9" w:rsidP="00CF6591">
                              <w:r>
                                <w:t>Consumer TAXII Architecture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68" name="Rounded Rectangle 18"/>
                        <wps:cNvSpPr/>
                        <wps:spPr>
                          <a:xfrm>
                            <a:off x="104775" y="76200"/>
                            <a:ext cx="2276475" cy="3276600"/>
                          </a:xfrm>
                          <a:prstGeom prst="roundRect">
                            <a:avLst>
                              <a:gd name="adj" fmla="val 9136"/>
                            </a:avLst>
                          </a:prstGeom>
                        </wps:spPr>
                        <wps:style>
                          <a:lnRef idx="2">
                            <a:schemeClr val="accent6"/>
                          </a:lnRef>
                          <a:fillRef idx="1">
                            <a:schemeClr val="lt1"/>
                          </a:fillRef>
                          <a:effectRef idx="0">
                            <a:schemeClr val="accent6"/>
                          </a:effectRef>
                          <a:fontRef idx="minor">
                            <a:schemeClr val="dk1"/>
                          </a:fontRef>
                        </wps:style>
                        <wps:txbx>
                          <w:txbxContent>
                            <w:p w14:paraId="48CE20D4" w14:textId="77777777" w:rsidR="00601EC9" w:rsidRDefault="00601EC9" w:rsidP="00CF6591">
                              <w:r>
                                <w:t>Producer TAXII Architecture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72" name="Rounded Rectangle 29"/>
                        <wps:cNvSpPr/>
                        <wps:spPr>
                          <a:xfrm>
                            <a:off x="361951" y="1952624"/>
                            <a:ext cx="1733550" cy="990599"/>
                          </a:xfrm>
                          <a:prstGeom prst="roundRect">
                            <a:avLst/>
                          </a:prstGeom>
                        </wps:spPr>
                        <wps:style>
                          <a:lnRef idx="2">
                            <a:schemeClr val="dk1"/>
                          </a:lnRef>
                          <a:fillRef idx="1">
                            <a:schemeClr val="lt1"/>
                          </a:fillRef>
                          <a:effectRef idx="0">
                            <a:schemeClr val="dk1"/>
                          </a:effectRef>
                          <a:fontRef idx="minor">
                            <a:schemeClr val="dk1"/>
                          </a:fontRef>
                        </wps:style>
                        <wps:txbx>
                          <w:txbxContent>
                            <w:p w14:paraId="5225BF88" w14:textId="77777777" w:rsidR="00601EC9" w:rsidRDefault="00601EC9" w:rsidP="00CF6591">
                              <w:r>
                                <w:t xml:space="preserve">TAXII Back-end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ounded Rectangle 31"/>
                        <wps:cNvSpPr/>
                        <wps:spPr>
                          <a:xfrm>
                            <a:off x="3286125" y="1895475"/>
                            <a:ext cx="1809750" cy="1047748"/>
                          </a:xfrm>
                          <a:prstGeom prst="roundRect">
                            <a:avLst/>
                          </a:prstGeom>
                        </wps:spPr>
                        <wps:style>
                          <a:lnRef idx="2">
                            <a:schemeClr val="dk1"/>
                          </a:lnRef>
                          <a:fillRef idx="1">
                            <a:schemeClr val="lt1"/>
                          </a:fillRef>
                          <a:effectRef idx="0">
                            <a:schemeClr val="dk1"/>
                          </a:effectRef>
                          <a:fontRef idx="minor">
                            <a:schemeClr val="dk1"/>
                          </a:fontRef>
                        </wps:style>
                        <wps:txbx>
                          <w:txbxContent>
                            <w:p w14:paraId="432C0D16" w14:textId="77777777" w:rsidR="00601EC9" w:rsidRDefault="00601EC9" w:rsidP="00CF6591">
                              <w:r>
                                <w:t xml:space="preserve">TAXII Back-end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Rectangle 33"/>
                        <wps:cNvSpPr/>
                        <wps:spPr>
                          <a:xfrm>
                            <a:off x="722925" y="227624"/>
                            <a:ext cx="1019175" cy="485775"/>
                          </a:xfrm>
                          <a:prstGeom prst="rect">
                            <a:avLst/>
                          </a:prstGeom>
                          <a:ln>
                            <a:solidFill>
                              <a:srgbClr val="C00000"/>
                            </a:solidFill>
                          </a:ln>
                          <a:effectLst>
                            <a:glow rad="635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4A4493BC" w14:textId="77777777" w:rsidR="00601EC9" w:rsidRDefault="00601EC9" w:rsidP="00CF6591">
                              <w:pPr>
                                <w:jc w:val="center"/>
                              </w:pPr>
                              <w:r>
                                <w:t>TTA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694725" y="227624"/>
                            <a:ext cx="1019175" cy="485775"/>
                          </a:xfrm>
                          <a:prstGeom prst="rect">
                            <a:avLst/>
                          </a:prstGeom>
                          <a:ln>
                            <a:solidFill>
                              <a:srgbClr val="C00000"/>
                            </a:solidFill>
                          </a:ln>
                          <a:effectLst>
                            <a:glow rad="635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2C58939B" w14:textId="77777777" w:rsidR="00601EC9" w:rsidRDefault="00601EC9" w:rsidP="00CF6591">
                              <w:pPr>
                                <w:jc w:val="center"/>
                              </w:pPr>
                              <w:r>
                                <w:t>TTA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694350" y="1029523"/>
                            <a:ext cx="1077300" cy="485775"/>
                          </a:xfrm>
                          <a:prstGeom prst="rect">
                            <a:avLst/>
                          </a:prstGeom>
                          <a:ln>
                            <a:solidFill>
                              <a:srgbClr val="C00000"/>
                            </a:solidFill>
                          </a:ln>
                          <a:effectLst>
                            <a:glow rad="635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3232F544" w14:textId="77777777" w:rsidR="00601EC9" w:rsidRDefault="00601EC9" w:rsidP="00CF6591">
                              <w:pPr>
                                <w:jc w:val="center"/>
                              </w:pPr>
                              <w:r>
                                <w:t>TMH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3656625" y="1036275"/>
                            <a:ext cx="1076960" cy="485775"/>
                          </a:xfrm>
                          <a:prstGeom prst="rect">
                            <a:avLst/>
                          </a:prstGeom>
                          <a:ln>
                            <a:solidFill>
                              <a:srgbClr val="C00000"/>
                            </a:solidFill>
                          </a:ln>
                          <a:effectLst>
                            <a:glow rad="635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31360CCD" w14:textId="77777777" w:rsidR="00601EC9" w:rsidRDefault="00601EC9" w:rsidP="00CF6591">
                              <w:pPr>
                                <w:jc w:val="center"/>
                              </w:pPr>
                              <w:r>
                                <w:t>TMH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Flowchart: Magnetic Disk 47"/>
                        <wps:cNvSpPr/>
                        <wps:spPr>
                          <a:xfrm>
                            <a:off x="1181100" y="2562225"/>
                            <a:ext cx="238125" cy="314325"/>
                          </a:xfrm>
                          <a:prstGeom prst="flowChartMagneticDisk">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Magnetic Disk 48"/>
                        <wps:cNvSpPr/>
                        <wps:spPr>
                          <a:xfrm>
                            <a:off x="3447075" y="2408850"/>
                            <a:ext cx="238125" cy="314325"/>
                          </a:xfrm>
                          <a:prstGeom prst="flowChartMagneticDisk">
                            <a:avLst/>
                          </a:prstGeom>
                        </wps:spPr>
                        <wps:style>
                          <a:lnRef idx="2">
                            <a:schemeClr val="dk1"/>
                          </a:lnRef>
                          <a:fillRef idx="1">
                            <a:schemeClr val="lt1"/>
                          </a:fillRef>
                          <a:effectRef idx="0">
                            <a:schemeClr val="dk1"/>
                          </a:effectRef>
                          <a:fontRef idx="minor">
                            <a:schemeClr val="dk1"/>
                          </a:fontRef>
                        </wps:style>
                        <wps:txbx>
                          <w:txbxContent>
                            <w:p w14:paraId="6C049159" w14:textId="77777777" w:rsidR="00601EC9" w:rsidRDefault="00601EC9" w:rsidP="00CF659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Flowchart: Magnetic Disk 50"/>
                        <wps:cNvSpPr/>
                        <wps:spPr>
                          <a:xfrm>
                            <a:off x="4762160" y="2181225"/>
                            <a:ext cx="238125" cy="314325"/>
                          </a:xfrm>
                          <a:prstGeom prst="flowChartMagneticDisk">
                            <a:avLst/>
                          </a:prstGeom>
                        </wps:spPr>
                        <wps:style>
                          <a:lnRef idx="2">
                            <a:schemeClr val="dk1"/>
                          </a:lnRef>
                          <a:fillRef idx="1">
                            <a:schemeClr val="lt1"/>
                          </a:fillRef>
                          <a:effectRef idx="0">
                            <a:schemeClr val="dk1"/>
                          </a:effectRef>
                          <a:fontRef idx="minor">
                            <a:schemeClr val="dk1"/>
                          </a:fontRef>
                        </wps:style>
                        <wps:txbx>
                          <w:txbxContent>
                            <w:p w14:paraId="3A6158BF" w14:textId="77777777" w:rsidR="00601EC9" w:rsidRDefault="00601EC9" w:rsidP="00CF659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Diamond 81"/>
                        <wps:cNvSpPr/>
                        <wps:spPr>
                          <a:xfrm>
                            <a:off x="571500" y="2256450"/>
                            <a:ext cx="514350" cy="314325"/>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Diamond 83"/>
                        <wps:cNvSpPr/>
                        <wps:spPr>
                          <a:xfrm>
                            <a:off x="4258310" y="2562225"/>
                            <a:ext cx="503850" cy="314325"/>
                          </a:xfrm>
                          <a:prstGeom prst="diamond">
                            <a:avLst/>
                          </a:prstGeom>
                        </wps:spPr>
                        <wps:style>
                          <a:lnRef idx="2">
                            <a:schemeClr val="dk1"/>
                          </a:lnRef>
                          <a:fillRef idx="1">
                            <a:schemeClr val="lt1"/>
                          </a:fillRef>
                          <a:effectRef idx="0">
                            <a:schemeClr val="dk1"/>
                          </a:effectRef>
                          <a:fontRef idx="minor">
                            <a:schemeClr val="dk1"/>
                          </a:fontRef>
                        </wps:style>
                        <wps:txbx>
                          <w:txbxContent>
                            <w:p w14:paraId="7F17DD81" w14:textId="77777777" w:rsidR="00601EC9" w:rsidRDefault="00601EC9" w:rsidP="00CF659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Flowchart: Sequential Access Storage 88"/>
                        <wps:cNvSpPr/>
                        <wps:spPr>
                          <a:xfrm>
                            <a:off x="1590675" y="2333625"/>
                            <a:ext cx="381000" cy="389550"/>
                          </a:xfrm>
                          <a:prstGeom prst="flowChartMagneticTap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Direct Access Storage 91"/>
                        <wps:cNvSpPr/>
                        <wps:spPr>
                          <a:xfrm>
                            <a:off x="3781425" y="2256450"/>
                            <a:ext cx="352425" cy="305775"/>
                          </a:xfrm>
                          <a:prstGeom prst="flowChartMagneticDru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Arrow Connector 92"/>
                        <wps:cNvCnPr/>
                        <wps:spPr>
                          <a:xfrm>
                            <a:off x="1742100" y="470512"/>
                            <a:ext cx="1952625" cy="0"/>
                          </a:xfrm>
                          <a:prstGeom prst="straightConnector1">
                            <a:avLst/>
                          </a:prstGeom>
                          <a:ln w="34925">
                            <a:solidFill>
                              <a:srgbClr val="C00000"/>
                            </a:solidFill>
                            <a:headEnd type="triangle"/>
                            <a:tailEnd type="triangle"/>
                          </a:ln>
                          <a:effectLst>
                            <a:glow rad="635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H="1" flipV="1">
                            <a:off x="1232513" y="713399"/>
                            <a:ext cx="487" cy="316124"/>
                          </a:xfrm>
                          <a:prstGeom prst="straightConnector1">
                            <a:avLst/>
                          </a:prstGeom>
                          <a:ln w="349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V="1">
                            <a:off x="4195105" y="713399"/>
                            <a:ext cx="9208" cy="322876"/>
                          </a:xfrm>
                          <a:prstGeom prst="straightConnector1">
                            <a:avLst/>
                          </a:prstGeom>
                          <a:ln w="349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V="1">
                            <a:off x="1228726" y="1515298"/>
                            <a:ext cx="4274" cy="437326"/>
                          </a:xfrm>
                          <a:prstGeom prst="straightConnector1">
                            <a:avLst/>
                          </a:prstGeom>
                          <a:ln w="349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V="1">
                            <a:off x="4191000" y="1522050"/>
                            <a:ext cx="4105" cy="373425"/>
                          </a:xfrm>
                          <a:prstGeom prst="straightConnector1">
                            <a:avLst/>
                          </a:prstGeom>
                          <a:ln w="349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98" o:spid="_x0000_s1044" editas="canvas" style="width:6in;height:269.25pt;mso-position-horizontal-relative:char;mso-position-vertical-relative:line" coordsize="54864,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">
                <v:shape id="_x0000_s1045" type="#_x0000_t75" style="position:absolute;width:54864;height:34194;visibility:visible;mso-wrap-style:square">
                  <v:fill o:detectmouseclick="t"/>
                  <v:path o:connecttype="none"/>
                </v:shape>
                <v:roundrect id="Rounded Rectangle 9" o:spid="_x0000_s1046" style="position:absolute;left:30565;top:752;width:22765;height:32759;visibility:visible;mso-wrap-style:square;v-text-anchor:bottom" arcsize="59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pl8IA&#10;AADcAAAADwAAAGRycy9kb3ducmV2LnhtbESPQWsCMRSE70L/Q3iCN01cSi1bo0hBkF6kq9vz6+Z1&#10;s3TzsiRR13/fFAo9DjPzDbPejq4XVwqx86xhuVAgiBtvOm41nE/7+TOImJAN9p5Jw50ibDcPkzWW&#10;xt/4na5VakWGcCxRg01pKKWMjSWHceEH4ux9+eAwZRlaaQLeMtz1slDqSTrsOC9YHOjVUvNdXVym&#10;RPXxdqRjc6isWnEdlhV+1lrPpuPuBUSiMf2H/9oHo6EoHuH3TD4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imXwgAAANwAAAAPAAAAAAAAAAAAAAAAAJgCAABkcnMvZG93&#10;bnJldi54bWxQSwUGAAAAAAQABAD1AAAAhwMAAAAA&#10;" fillcolor="white [3201]" strokecolor="#f79646 [3209]" strokeweight="2pt">
                  <v:textbox>
                    <w:txbxContent>
                      <w:p w14:paraId="0894F68F" w14:textId="77777777" w:rsidR="00601EC9" w:rsidRDefault="00601EC9" w:rsidP="00CF6591">
                        <w:r>
                          <w:t>Consumer TAXII Architecture</w:t>
                        </w:r>
                      </w:p>
                    </w:txbxContent>
                  </v:textbox>
                </v:roundrect>
                <v:roundrect id="Rounded Rectangle 18" o:spid="_x0000_s1047" style="position:absolute;left:1047;top:762;width:22765;height:32766;visibility:visible;mso-wrap-style:square;v-text-anchor:bottom" arcsize="59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aUsMA&#10;AADcAAAADwAAAGRycy9kb3ducmV2LnhtbESPTWvDMAyG74P9B6NBb63dHrqS1S1jMCi7lKUfZzXW&#10;4rBYDrbXpv9+Ogx2FK/eR3rW2zH06kopd5EtzGcGFHETXcethePhfboClQuywz4yWbhThu3m8WGN&#10;lYs3/qRrXVolEM4VWvClDJXWufEUMM/iQCzZV0wBi4yp1S7hTeCh1wtjljpgx3LB40Bvnprv+icI&#10;JZvzx572za725plPaV7j5WTt5Gl8fQFVaCz/y3/tnbOwWMq3IiMi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aUsMAAADcAAAADwAAAAAAAAAAAAAAAACYAgAAZHJzL2Rv&#10;d25yZXYueG1sUEsFBgAAAAAEAAQA9QAAAIgDAAAAAA==&#10;" fillcolor="white [3201]" strokecolor="#f79646 [3209]" strokeweight="2pt">
                  <v:textbox>
                    <w:txbxContent>
                      <w:p w14:paraId="48CE20D4" w14:textId="77777777" w:rsidR="00601EC9" w:rsidRDefault="00601EC9" w:rsidP="00CF6591">
                        <w:r>
                          <w:t>Producer TAXII Architecture</w:t>
                        </w:r>
                      </w:p>
                    </w:txbxContent>
                  </v:textbox>
                </v:roundrect>
                <v:roundrect id="Rounded Rectangle 29" o:spid="_x0000_s1048" style="position:absolute;left:3619;top:19526;width:17336;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MOcAA&#10;AADcAAAADwAAAGRycy9kb3ducmV2LnhtbESPQYvCMBSE74L/ITxhb5ragyvVKCIIggfR1fujebbF&#10;5iUk0dZ/bxYEj8PMfMMs171pxZN8aCwrmE4yEMSl1Q1XCi5/u/EcRIjIGlvLpOBFAdar4WCJhbYd&#10;n+h5jpVIEA4FKqhjdIWUoazJYJhYR5y8m/UGY5K+ktpjl+CmlXmWzaTBhtNCjY62NZX388MooLlr&#10;dqfrPt79jN0Rs8Olux2U+hn1mwWISH38hj/tvVaQ/+bwfyYd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sMOcAAAADcAAAADwAAAAAAAAAAAAAAAACYAgAAZHJzL2Rvd25y&#10;ZXYueG1sUEsFBgAAAAAEAAQA9QAAAIUDAAAAAA==&#10;" fillcolor="white [3201]" strokecolor="black [3200]" strokeweight="2pt">
                  <v:textbox>
                    <w:txbxContent>
                      <w:p w14:paraId="5225BF88" w14:textId="77777777" w:rsidR="00601EC9" w:rsidRDefault="00601EC9" w:rsidP="00CF6591">
                        <w:r>
                          <w:t xml:space="preserve">TAXII Back-end </w:t>
                        </w:r>
                      </w:p>
                    </w:txbxContent>
                  </v:textbox>
                </v:roundrect>
                <v:roundrect id="Rounded Rectangle 31" o:spid="_x0000_s1049" style="position:absolute;left:32861;top:18954;width:18097;height:104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4usEA&#10;AADbAAAADwAAAGRycy9kb3ducmV2LnhtbESPS2vDMBCE74X+B7GF3hq5DYTgWjalYAjkUPK6L9b6&#10;ga2VkNTY/fdVIJDjMDPfMEW1mElcyYfBsoL3VQaCuLF64E7B+VS/bUGEiKxxskwK/ihAVT4/FZhr&#10;O/OBrsfYiQThkKOCPkaXSxmangyGlXXEyWutNxiT9J3UHucEN5P8yLKNNDhwWujR0XdPzXj8NQpo&#10;64b6cNnF0W/Y/WC2P8/tXqnXl+XrE0SkJT7C9/ZOK1iv4fYl/Q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sOLrBAAAA2wAAAA8AAAAAAAAAAAAAAAAAmAIAAGRycy9kb3du&#10;cmV2LnhtbFBLBQYAAAAABAAEAPUAAACGAwAAAAA=&#10;" fillcolor="white [3201]" strokecolor="black [3200]" strokeweight="2pt">
                  <v:textbox>
                    <w:txbxContent>
                      <w:p w14:paraId="432C0D16" w14:textId="77777777" w:rsidR="00601EC9" w:rsidRDefault="00601EC9" w:rsidP="00CF6591">
                        <w:r>
                          <w:t xml:space="preserve">TAXII Back-end </w:t>
                        </w:r>
                      </w:p>
                    </w:txbxContent>
                  </v:textbox>
                </v:roundrect>
                <v:rect id="Rectangle 33" o:spid="_x0000_s1050" style="position:absolute;left:7229;top:2276;width:10192;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d9sAA&#10;AADbAAAADwAAAGRycy9kb3ducmV2LnhtbDxP22rCQBB9L/gPywi+1Y0irURXEcELFApVP2DMjkkw&#10;Oxuyo8Z8vVsofTx3znzZukrdqQmlZwOjYQKKOPO25NzA6bh5n4IKgmyx8kwGnhRguei9zTG1/sE/&#10;dD9IrmIJhxQNFCJ1qnXICnIYhr4mjtrFNw4lwibXtsFHLHeVHifJh3ZYclwosKZ1Qdn1cHMGMLuc&#10;R92k+9q1spbu8/sq21VizKDfrmaghCL9b/5L762ByRh+v8Q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Ad9sAAAADbAAAADwAAAAAAAAAAAAAAAACYAgAAZHJzL2Rvd25y&#10;ZXYueG1sUEsFBgAAAAAEAAQA9QAAAIUDAAAAAA==&#10;" fillcolor="white [3201]" strokecolor="#c00000" strokeweight="2pt">
                  <v:textbox>
                    <w:txbxContent>
                      <w:p w14:paraId="4A4493BC" w14:textId="77777777" w:rsidR="00601EC9" w:rsidRDefault="00601EC9" w:rsidP="00CF6591">
                        <w:pPr>
                          <w:jc w:val="center"/>
                        </w:pPr>
                        <w:r>
                          <w:t>TTA</w:t>
                        </w:r>
                      </w:p>
                    </w:txbxContent>
                  </v:textbox>
                </v:rect>
                <v:rect id="Rectangle 43" o:spid="_x0000_s1051" style="position:absolute;left:36947;top:2276;width:10192;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4bcAA&#10;AADbAAAADwAAAGRycy9kb3ducmV2LnhtbDxP22rCQBB9F/oPyxR8040XbImuIoJtQRC0/YAxOybB&#10;7GzITjXN13cF8fHcOYtV6yp1pSaUng2Mhgko4szbknMDP9/bwTuoIMgWK89k4I8CrJYvvQWm1t/4&#10;QNej5CqWcEjRQCFSp1qHrCCHYehr4qidfeNQImxybRu8xXJX6XGSzLTDkuNCgTVtCsoux19nALPz&#10;adRNu91nKxvp3vYX+VgnxvRf2/UclFCkn+ZH+ssamE7g/iX+AL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y4bcAAAADbAAAADwAAAAAAAAAAAAAAAACYAgAAZHJzL2Rvd25y&#10;ZXYueG1sUEsFBgAAAAAEAAQA9QAAAIUDAAAAAA==&#10;" fillcolor="white [3201]" strokecolor="#c00000" strokeweight="2pt">
                  <v:textbox>
                    <w:txbxContent>
                      <w:p w14:paraId="2C58939B" w14:textId="77777777" w:rsidR="00601EC9" w:rsidRDefault="00601EC9" w:rsidP="00CF6591">
                        <w:pPr>
                          <w:jc w:val="center"/>
                        </w:pPr>
                        <w:r>
                          <w:t>TTA</w:t>
                        </w:r>
                      </w:p>
                    </w:txbxContent>
                  </v:textbox>
                </v:rect>
                <v:rect id="Rectangle 45" o:spid="_x0000_s1052" style="position:absolute;left:6943;top:10295;width:10773;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FgsAA&#10;AADbAAAADwAAAGRycy9kb3ducmV2LnhtbDxP22rCQBB9L/gPywi+1Y1FW4muIkJVKBS0fsCYHZNg&#10;djZkR435erdQ+njunPmydZW6URNKzwZGwwQUceZtybmB48/n6xRUEGSLlWcy8KAAy0XvZY6p9Xfe&#10;0+0guYolHFI0UIjUqdYhK8hhGPqaOGpn3ziUCJtc2wbvsdxV+i1J3rXDkuNCgTWtC8ouh6szgNn5&#10;NOrG3de2lbV0H98X2awSYwb9djUDJRTpf/NfemcNjCfw+yX+AL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mFgsAAAADbAAAADwAAAAAAAAAAAAAAAACYAgAAZHJzL2Rvd25y&#10;ZXYueG1sUEsFBgAAAAAEAAQA9QAAAIUDAAAAAA==&#10;" fillcolor="white [3201]" strokecolor="#c00000" strokeweight="2pt">
                  <v:textbox>
                    <w:txbxContent>
                      <w:p w14:paraId="3232F544" w14:textId="77777777" w:rsidR="00601EC9" w:rsidRDefault="00601EC9" w:rsidP="00CF6591">
                        <w:pPr>
                          <w:jc w:val="center"/>
                        </w:pPr>
                        <w:r>
                          <w:t>TMH</w:t>
                        </w:r>
                      </w:p>
                    </w:txbxContent>
                  </v:textbox>
                </v:rect>
                <v:rect id="Rectangle 46" o:spid="_x0000_s1053" style="position:absolute;left:36566;top:10362;width:10769;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sb9cAA&#10;AADbAAAADwAAAGRycy9kb3ducmV2LnhtbDxP22rCQBB9L/gPywi+1Y0iVqKriOAFCoWqHzBmxySY&#10;nQ3ZUWO+vlsofTx3zmLVuko9qAmlZwOjYQKKOPO25NzA+bR9n4EKgmyx8kwGXhRgtey9LTC1/snf&#10;9DhKrmIJhxQNFCJ1qnXICnIYhr4mjtrVNw4lwibXtsFnLHeVHifJVDssOS4UWNOmoOx2vDsDmF0v&#10;o27Sfe5b2Uj38XWT3ToxZtBv13NQQpH+N/+lD9bAZAq/X+IP0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sb9cAAAADbAAAADwAAAAAAAAAAAAAAAACYAgAAZHJzL2Rvd25y&#10;ZXYueG1sUEsFBgAAAAAEAAQA9QAAAIUDAAAAAA==&#10;" fillcolor="white [3201]" strokecolor="#c00000" strokeweight="2pt">
                  <v:textbox>
                    <w:txbxContent>
                      <w:p w14:paraId="31360CCD" w14:textId="77777777" w:rsidR="00601EC9" w:rsidRDefault="00601EC9" w:rsidP="00CF6591">
                        <w:pPr>
                          <w:jc w:val="center"/>
                        </w:pPr>
                        <w:r>
                          <w:t>TMH</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47" o:spid="_x0000_s1054" type="#_x0000_t132" style="position:absolute;left:11811;top:25622;width:238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1JL8A&#10;AADbAAAADwAAAGRycy9kb3ducmV2LnhtbESPwcrCMBCE7z/4DmEFb7+pIlarUUQQxItafYClWdti&#10;sylNrPXtjSB4HGbmG2a57kwlWmpcaVnBaBiBIM6sLjlXcL3s/mcgnEfWWFkmBS9ysF71/paYaPvk&#10;M7Wpz0WAsEtQQeF9nUjpsoIMuqGtiYN3s41BH2STS93gM8BNJcdRNJUGSw4LBda0LSi7pw+j4HQw&#10;Lx3L6L6/zrfyEddHm7pWqUG/2yxAeOr8L/xt77WCSQyf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H3UkvwAAANsAAAAPAAAAAAAAAAAAAAAAAJgCAABkcnMvZG93bnJl&#10;di54bWxQSwUGAAAAAAQABAD1AAAAhAMAAAAA&#10;" fillcolor="white [3201]" strokecolor="black [3200]" strokeweight="2pt"/>
                <v:shape id="Flowchart: Magnetic Disk 48" o:spid="_x0000_s1055" type="#_x0000_t132" style="position:absolute;left:34470;top:24088;width:238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hVrwA&#10;AADbAAAADwAAAGRycy9kb3ducmV2LnhtbERPSwrCMBDdC94hjOBOU0X8VKOIIIgbtfYAQzO2xWZS&#10;mljr7c1CcPl4/82uM5VoqXGlZQWTcQSCOLO65FxBej+OliCcR9ZYWSYFH3Kw2/Z7G4y1ffON2sTn&#10;IoSwi1FB4X0dS+myggy6sa2JA/ewjUEfYJNL3eA7hJtKTqNoLg2WHBoKrOlQUPZMXkbB9Ww+eiGj&#10;5yldHeRrUV9s4lqlhoNuvwbhqfN/8c990gpmYWz4En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gOFWvAAAANsAAAAPAAAAAAAAAAAAAAAAAJgCAABkcnMvZG93bnJldi54&#10;bWxQSwUGAAAAAAQABAD1AAAAgQMAAAAA&#10;" fillcolor="white [3201]" strokecolor="black [3200]" strokeweight="2pt">
                  <v:textbox>
                    <w:txbxContent>
                      <w:p w14:paraId="6C049159" w14:textId="77777777" w:rsidR="00601EC9" w:rsidRDefault="00601EC9" w:rsidP="00CF6591"/>
                    </w:txbxContent>
                  </v:textbox>
                </v:shape>
                <v:shape id="Flowchart: Magnetic Disk 50" o:spid="_x0000_s1056" type="#_x0000_t132" style="position:absolute;left:47621;top:21812;width:238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7jbwA&#10;AADbAAAADwAAAGRycy9kb3ducmV2LnhtbERPSwrCMBDdC94hjOBOUwV/1SgiCOJGrT3A0IxtsZmU&#10;JtZ6e7MQXD7ef7PrTCVaalxpWcFkHIEgzqwuOVeQ3o+jJQjnkTVWlknBhxzstv3eBmNt33yjNvG5&#10;CCHsYlRQeF/HUrqsIINubGviwD1sY9AH2ORSN/gO4aaS0yiaS4Mlh4YCazoUlD2Tl1FwPZuPXsjo&#10;eUpXB/la1BebuFap4aDbr0F46vxf/HOftIJZWB++hB8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L3uNvAAAANsAAAAPAAAAAAAAAAAAAAAAAJgCAABkcnMvZG93bnJldi54&#10;bWxQSwUGAAAAAAQABAD1AAAAgQMAAAAA&#10;" fillcolor="white [3201]" strokecolor="black [3200]" strokeweight="2pt">
                  <v:textbox>
                    <w:txbxContent>
                      <w:p w14:paraId="3A6158BF" w14:textId="77777777" w:rsidR="00601EC9" w:rsidRDefault="00601EC9" w:rsidP="00CF6591"/>
                    </w:txbxContent>
                  </v:textbox>
                </v:shape>
                <v:shapetype id="_x0000_t4" coordsize="21600,21600" o:spt="4" path="m10800,l,10800,10800,21600,21600,10800xe">
                  <v:stroke joinstyle="miter"/>
                  <v:path gradientshapeok="t" o:connecttype="rect" textboxrect="5400,5400,16200,16200"/>
                </v:shapetype>
                <v:shape id="Diamond 81" o:spid="_x0000_s1057" type="#_x0000_t4" style="position:absolute;left:5715;top:22564;width:514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HgcUA&#10;AADbAAAADwAAAGRycy9kb3ducmV2LnhtbESPQWvCQBSE7wX/w/KE3uomRURS11CFooemUGOpx0f2&#10;mU3Nvg3ZVeO/7xaEHoeZ+YZZ5INtxYV63zhWkE4SEMSV0w3XCvbl29MchA/IGlvHpOBGHvLl6GGB&#10;mXZX/qTLLtQiQthnqMCE0GVS+sqQRT9xHXH0jq63GKLsa6l7vEa4beVzksykxYbjgsGO1oaq0+5s&#10;FRR787E6h++kKN+nsticDuXXz1apx/Hw+gIi0BD+w/f2ViuYp/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keBxQAAANsAAAAPAAAAAAAAAAAAAAAAAJgCAABkcnMv&#10;ZG93bnJldi54bWxQSwUGAAAAAAQABAD1AAAAigMAAAAA&#10;" fillcolor="white [3201]" strokecolor="black [3200]" strokeweight="2pt"/>
                <v:shape id="Diamond 83" o:spid="_x0000_s1058" type="#_x0000_t4" style="position:absolute;left:42583;top:25622;width:5038;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8bcUA&#10;AADbAAAADwAAAGRycy9kb3ducmV2LnhtbESPT2vCQBTE7wW/w/KE3uqmfygSXaUKpR6agkbR4yP7&#10;zEazb0N21fTbu4LgcZiZ3zDjaWdrcabWV44VvA4SEMSF0xWXCtb598sQhA/IGmvHpOCfPEwnvacx&#10;ptpdeEnnVShFhLBPUYEJoUml9IUhi37gGuLo7V1rMUTZllK3eIlwW8u3JPmUFiuOCwYbmhsqjquT&#10;VZCtzd/sFLZJlv9+yOznuMs3h4VSz/3uawQiUBce4Xt7oRUM3+H2Jf4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HxtxQAAANsAAAAPAAAAAAAAAAAAAAAAAJgCAABkcnMv&#10;ZG93bnJldi54bWxQSwUGAAAAAAQABAD1AAAAigMAAAAA&#10;" fillcolor="white [3201]" strokecolor="black [3200]" strokeweight="2pt">
                  <v:textbox>
                    <w:txbxContent>
                      <w:p w14:paraId="7F17DD81" w14:textId="77777777" w:rsidR="00601EC9" w:rsidRDefault="00601EC9" w:rsidP="00CF6591"/>
                    </w:txbxContent>
                  </v:textbox>
                </v:shape>
                <v:shapetype id="_x0000_t131" coordsize="21600,21600" o:spt="131" path="ar,,21600,21600,18685,18165,10677,21597l20990,21597r,-3432xe">
                  <v:stroke joinstyle="miter"/>
                  <v:path o:connecttype="rect" textboxrect="3163,3163,18437,18437"/>
                </v:shapetype>
                <v:shape id="Flowchart: Sequential Access Storage 88" o:spid="_x0000_s1059" type="#_x0000_t131" style="position:absolute;left:15906;top:23336;width:3810;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A8IA&#10;AADbAAAADwAAAGRycy9kb3ducmV2LnhtbERPy2rCQBTdC/7DcIVuRCctVEJ0DCK0SF/QxA+4ZG4e&#10;mrkTMhOT9us7i4LLw3nv0sm04ka9aywreFxHIIgLqxuuFJzzl1UMwnlkja1lUvBDDtL9fLbDRNuR&#10;v+mW+UqEEHYJKqi97xIpXVGTQbe2HXHgStsb9AH2ldQ9jiHctPIpijbSYMOhocaOjjUV12wwCr7e&#10;9Of7gMvYl5fy9XQZc/54/lXqYTEdtiA8Tf4u/neftII4jA1fw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r4DwgAAANsAAAAPAAAAAAAAAAAAAAAAAJgCAABkcnMvZG93&#10;bnJldi54bWxQSwUGAAAAAAQABAD1AAAAhwMAAAAA&#10;" fillcolor="white [3201]" strokecolor="black [3200]" strokeweight="2p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91" o:spid="_x0000_s1060" type="#_x0000_t133" style="position:absolute;left:37814;top:22564;width:3524;height:3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8B8UA&#10;AADbAAAADwAAAGRycy9kb3ducmV2LnhtbESPQWvCQBSE74X+h+UJ3upGoRpTVymVij14MFVKb6/Z&#10;ZxKafRt215j+e1cQehxm5htmsepNIzpyvrasYDxKQBAXVtdcKjh8vj+lIHxA1thYJgV/5GG1fHxY&#10;YKbthffU5aEUEcI+QwVVCG0mpS8qMuhHtiWO3sk6gyFKV0rt8BLhppGTJJlKgzXHhQpbequo+M3P&#10;RsG6a7c2/fr4nh2fDxvX5LOfcueUGg761xcQgfrwH763t1rBfAy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DwHxQAAANsAAAAPAAAAAAAAAAAAAAAAAJgCAABkcnMv&#10;ZG93bnJldi54bWxQSwUGAAAAAAQABAD1AAAAigMAAAAA&#10;" fillcolor="white [3201]" strokecolor="black [3200]" strokeweight="2pt"/>
                <v:shapetype id="_x0000_t32" coordsize="21600,21600" o:spt="32" o:oned="t" path="m,l21600,21600e" filled="f">
                  <v:path arrowok="t" fillok="f" o:connecttype="none"/>
                  <o:lock v:ext="edit" shapetype="t"/>
                </v:shapetype>
                <v:shape id="Straight Arrow Connector 92" o:spid="_x0000_s1061" type="#_x0000_t32" style="position:absolute;left:17421;top:4705;width:195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MnsQAAADbAAAADwAAAGRycy9kb3ducmV2LnhtbESPzWrDMBCE74W8g9hAbo0cH0LqRjYl&#10;4PzQk9NA6W2xNrZTa2UsxXbevioUehxm5htmm02mFQP1rrGsYLWMQBCXVjdcKbh85M8bEM4ja2wt&#10;k4IHOcjS2dMWE21HLmg4+0oECLsEFdTed4mUrqzJoFvajjh4V9sb9EH2ldQ9jgFuWhlH0VoabDgs&#10;1NjRrqby+3w3Ct6/hn0++bGwt0tefLq4GzaHk1KL+fT2CsLT5P/Df+2jVvASw++X8AN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MyexAAAANsAAAAPAAAAAAAAAAAA&#10;AAAAAKECAABkcnMvZG93bnJldi54bWxQSwUGAAAAAAQABAD5AAAAkgMAAAAA&#10;" strokecolor="#c00000" strokeweight="2.75pt">
                  <v:stroke startarrow="block" endarrow="block"/>
                </v:shape>
                <v:shape id="Straight Arrow Connector 94" o:spid="_x0000_s1062" type="#_x0000_t32" style="position:absolute;left:12325;top:7133;width:5;height:31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NRzMQAAADbAAAADwAAAGRycy9kb3ducmV2LnhtbESPQWvCQBSE74X+h+UVequbmiI2uooU&#10;BAV7MNr7M/uahGbfhuyLSf+9Wyh4HGbmG2a5Hl2jrtSF2rOB10kCirjwtubSwPm0fZmDCoJssfFM&#10;Bn4pwHr1+LDEzPqBj3TNpVQRwiFDA5VIm2kdioocholviaP37TuHEmVXatvhEOGu0dMkmWmHNceF&#10;Clv6qKj4yXtnYNjvD335ddnJrEmnqdtKv0k/jXl+GjcLUEKj3MP/7Z018P4Gf1/iD9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01HMxAAAANsAAAAPAAAAAAAAAAAA&#10;AAAAAKECAABkcnMvZG93bnJldi54bWxQSwUGAAAAAAQABAD5AAAAkgMAAAAA&#10;" strokecolor="black [3213]" strokeweight="2.75pt">
                  <v:stroke startarrow="block" endarrow="block"/>
                </v:shape>
                <v:shape id="Straight Arrow Connector 95" o:spid="_x0000_s1063" type="#_x0000_t32" style="position:absolute;left:41951;top:7133;width:92;height:3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vyMUAAADbAAAADwAAAGRycy9kb3ducmV2LnhtbESPQWvCQBSE74L/YXlCb7qpxdpGV1FB&#10;kBaC2np/ZJ/Z1OzbkF1N2l/fLRQ8DjPzDTNfdrYSN2p86VjB4ygBQZw7XXKh4PNjO3wB4QOyxsox&#10;KfgmD8tFvzfHVLuWD3Q7hkJECPsUFZgQ6lRKnxuy6EeuJo7e2TUWQ5RNIXWDbYTbSo6T5FlaLDku&#10;GKxpYyi/HK9WQZJh9pSZ8n19mq6m+/pnf3r7apV6GHSrGYhAXbiH/9s7reB1A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vyMUAAADbAAAADwAAAAAAAAAA&#10;AAAAAAChAgAAZHJzL2Rvd25yZXYueG1sUEsFBgAAAAAEAAQA+QAAAJMDAAAAAA==&#10;" strokecolor="black [3213]" strokeweight="2.75pt">
                  <v:stroke startarrow="block" endarrow="block"/>
                </v:shape>
                <v:shape id="Straight Arrow Connector 96" o:spid="_x0000_s1064" type="#_x0000_t32" style="position:absolute;left:12287;top:15152;width:43;height:4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xv8QAAADbAAAADwAAAGRycy9kb3ducmV2LnhtbESPW2vCQBSE3wv9D8sR+lY3tuAluoot&#10;FEqF4PX9kD1mo9mzIbs10V/fFYQ+DjPzDTNbdLYSF2p86VjBoJ+AIM6dLrlQsN99vY5B+ICssXJM&#10;Cq7kYTF/fpphql3LG7psQyEihH2KCkwIdSqlzw1Z9H1XE0fv6BqLIcqmkLrBNsJtJd+SZCgtlhwX&#10;DNb0aSg/b3+tgiTD7D0z5erjMFqO1vVtffg5tUq99LrlFESgLvyHH+1vrWAyhP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vXG/xAAAANsAAAAPAAAAAAAAAAAA&#10;AAAAAKECAABkcnMvZG93bnJldi54bWxQSwUGAAAAAAQABAD5AAAAkgMAAAAA&#10;" strokecolor="black [3213]" strokeweight="2.75pt">
                  <v:stroke startarrow="block" endarrow="block"/>
                </v:shape>
                <v:shape id="Straight Arrow Connector 97" o:spid="_x0000_s1065" type="#_x0000_t32" style="position:absolute;left:41910;top:15220;width:41;height:3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UJMUAAADbAAAADwAAAGRycy9kb3ducmV2LnhtbESP3WrCQBSE74W+w3IKvaubttDU6Cq2&#10;UJAKwfpzf8ges7HZsyG7mujTdwXBy2FmvmEms97W4kStrxwreBkmIIgLpysuFWw3388fIHxA1lg7&#10;JgVn8jCbPgwmmGnX8S+d1qEUEcI+QwUmhCaT0heGLPqha4ijt3etxRBlW0rdYhfhtpavSfIuLVYc&#10;Fww29GWo+FsfrYIkx/wtN9Xyc5fO01VzWe1+Dp1ST4/9fAwiUB/u4Vt7oRWMUrh+iT9AT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HUJMUAAADbAAAADwAAAAAAAAAA&#10;AAAAAAChAgAAZHJzL2Rvd25yZXYueG1sUEsFBgAAAAAEAAQA+QAAAJMDAAAAAA==&#10;" strokecolor="black [3213]" strokeweight="2.75pt">
                  <v:stroke startarrow="block" endarrow="block"/>
                </v:shape>
                <w10:anchorlock/>
              </v:group>
            </w:pict>
          </mc:Fallback>
        </mc:AlternateContent>
      </w:r>
    </w:p>
    <w:p w14:paraId="249AE9BD" w14:textId="64DB4B85" w:rsidR="00601EC9" w:rsidRDefault="00601EC9" w:rsidP="00601EC9">
      <w:pPr>
        <w:pStyle w:val="Caption"/>
        <w:jc w:val="center"/>
      </w:pPr>
      <w:bookmarkStart w:id="22" w:name="_Ref338323211"/>
      <w:r>
        <w:t xml:space="preserve">Figure </w:t>
      </w:r>
      <w:fldSimple w:instr=" SEQ Figure \* ARABIC ">
        <w:r w:rsidR="004D5914">
          <w:rPr>
            <w:noProof/>
          </w:rPr>
          <w:t>5</w:t>
        </w:r>
      </w:fldSimple>
      <w:bookmarkEnd w:id="22"/>
      <w:r>
        <w:t xml:space="preserve"> - The Interaction of TAXII</w:t>
      </w:r>
      <w:r w:rsidR="0070505C">
        <w:t>™</w:t>
      </w:r>
      <w:r>
        <w:t xml:space="preserve"> Functional Units</w:t>
      </w:r>
    </w:p>
    <w:p w14:paraId="6605ABBC" w14:textId="77777777" w:rsidR="00601EC9" w:rsidRPr="00CF6591" w:rsidRDefault="00601EC9" w:rsidP="00601EC9">
      <w:r>
        <w:fldChar w:fldCharType="begin"/>
      </w:r>
      <w:r>
        <w:instrText xml:space="preserve"> REF _Ref338323211 \h </w:instrText>
      </w:r>
      <w:r>
        <w:fldChar w:fldCharType="separate"/>
      </w:r>
      <w:r w:rsidR="004D5914">
        <w:t xml:space="preserve">Figure </w:t>
      </w:r>
      <w:r w:rsidR="004D5914">
        <w:rPr>
          <w:noProof/>
        </w:rPr>
        <w:t>5</w:t>
      </w:r>
      <w:r>
        <w:fldChar w:fldCharType="end"/>
      </w:r>
      <w:r>
        <w:t xml:space="preserve"> shows a notional interaction between a TAXII Producer and a TAXII Consumer. The two TTAs communicate with each other over the network using protocols defined in a Protocol Binding Specification. The recipient's TTA then extracts the TAXII Message from the network and passes it to the TMH. The TMH parses the TAXII Message and interacts with the TAXII Back-end to determine the appropriate response. The TMH then takes this response, packages it as a TAXII Message, and passes it on to the TTA for transmission. The TAXII specifications provide normative requirements for the components that appear in red. Specifically, they provide requirements with regard to how TAXII Messages are exchanged between TAXII Architectures and also provide requirements which dictate the behavior of TTAs and TMHs. Note that the TAXII specifications do not require or anticipate uniformity in the implementation of TAXII Back-ends.</w:t>
      </w:r>
    </w:p>
    <w:p w14:paraId="029A2E5B" w14:textId="64A79C9C" w:rsidR="00601EC9" w:rsidRDefault="00601EC9" w:rsidP="00601EC9">
      <w:pPr>
        <w:pStyle w:val="Heading1"/>
        <w:numPr>
          <w:ilvl w:val="0"/>
          <w:numId w:val="18"/>
        </w:numPr>
      </w:pPr>
      <w:bookmarkStart w:id="23" w:name="_Toc431898803"/>
      <w:bookmarkStart w:id="24" w:name="_Toc450734060"/>
      <w:bookmarkEnd w:id="4"/>
      <w:bookmarkEnd w:id="5"/>
      <w:r>
        <w:lastRenderedPageBreak/>
        <w:t>TAXII</w:t>
      </w:r>
      <w:r w:rsidR="0070505C" w:rsidRPr="002666EE">
        <w:rPr>
          <w:szCs w:val="28"/>
          <w:vertAlign w:val="superscript"/>
        </w:rPr>
        <w:t>™</w:t>
      </w:r>
      <w:r>
        <w:t xml:space="preserve"> Capabilities</w:t>
      </w:r>
      <w:bookmarkEnd w:id="23"/>
      <w:bookmarkEnd w:id="24"/>
    </w:p>
    <w:p w14:paraId="6FF1117A" w14:textId="77777777" w:rsidR="00601EC9" w:rsidRDefault="00601EC9" w:rsidP="00601EC9">
      <w:r>
        <w:t>TAXII exists to provide specific capabilities for sharing structured cyber threat information. TAXII Capabilities are the highest level at which TAXII actions can be described. There are three Capabilities that the current version of TAXII supports: push messaging, pull messaging, and discovery.</w:t>
      </w:r>
    </w:p>
    <w:p w14:paraId="0E386CE9" w14:textId="77777777" w:rsidR="00601EC9" w:rsidRPr="000371CD" w:rsidRDefault="00601EC9" w:rsidP="00601EC9"/>
    <w:p w14:paraId="25B6ED4E" w14:textId="77777777" w:rsidR="00601EC9" w:rsidRDefault="00601EC9" w:rsidP="00601EC9">
      <w:pPr>
        <w:pStyle w:val="Heading2"/>
        <w:numPr>
          <w:ilvl w:val="1"/>
          <w:numId w:val="18"/>
        </w:numPr>
      </w:pPr>
      <w:bookmarkStart w:id="25" w:name="_Toc431898804"/>
      <w:bookmarkStart w:id="26" w:name="_Toc450734061"/>
      <w:r>
        <w:t>Push Messaging</w:t>
      </w:r>
      <w:bookmarkEnd w:id="25"/>
      <w:bookmarkEnd w:id="26"/>
    </w:p>
    <w:p w14:paraId="75BA87D3" w14:textId="77777777" w:rsidR="00601EC9" w:rsidRDefault="00601EC9" w:rsidP="00601EC9">
      <w:r>
        <w:t>Structured cyber threat information can be pushed from a Producer to a Consumer. This can reflect a pre-existing relationship between the Producer and Consumer, where the Consumer has requested to receive periodic content pushes from the Producer. On the other end of the spectrum, push messaging</w:t>
      </w:r>
      <w:r w:rsidRPr="00762145">
        <w:t xml:space="preserve"> c</w:t>
      </w:r>
      <w:r>
        <w:t>an</w:t>
      </w:r>
      <w:r w:rsidRPr="00762145">
        <w:t xml:space="preserve"> be used in a case where a Consumer is willing to accept contributions from any party and an</w:t>
      </w:r>
      <w:r>
        <w:t xml:space="preserve">y Producer can volunteer content at any time without any pre-existing relationship. An example of the former is a Consumer who subscribed to a Producer's data feed, while an example of the latter is a Consumer that is acting as a repository of published information and allows anyone to volunteer data. </w:t>
      </w:r>
    </w:p>
    <w:p w14:paraId="0FF9963A" w14:textId="77777777" w:rsidR="00601EC9" w:rsidRPr="000371CD" w:rsidRDefault="00601EC9" w:rsidP="00601EC9"/>
    <w:p w14:paraId="7504EA30" w14:textId="77777777" w:rsidR="00601EC9" w:rsidRDefault="00601EC9" w:rsidP="00601EC9">
      <w:pPr>
        <w:pStyle w:val="Heading2"/>
        <w:numPr>
          <w:ilvl w:val="1"/>
          <w:numId w:val="18"/>
        </w:numPr>
      </w:pPr>
      <w:bookmarkStart w:id="27" w:name="_Toc431898805"/>
      <w:bookmarkStart w:id="28" w:name="_Toc450734062"/>
      <w:r>
        <w:t>Pull Messaging</w:t>
      </w:r>
      <w:bookmarkEnd w:id="27"/>
      <w:bookmarkEnd w:id="28"/>
    </w:p>
    <w:p w14:paraId="58991957" w14:textId="77777777" w:rsidR="00601EC9" w:rsidRDefault="00601EC9" w:rsidP="00601EC9">
      <w:r>
        <w:t xml:space="preserve">A Consumer can request to pull structured cyber threat information from a Producer. This not only allows the Consumer to control when it receives cyber threat data, but allows the Consumer to receive data without having to listen for incoming connections. As with push messaging, the Producer and Consumer can have an existing agreement for the Consumer to have access to the Producer's content. Alternately, a Producer can make its information available publicly and any Consumer can contact it requesting the data. </w:t>
      </w:r>
    </w:p>
    <w:p w14:paraId="046DF9A6" w14:textId="77777777" w:rsidR="00601EC9" w:rsidRDefault="00601EC9" w:rsidP="00601EC9"/>
    <w:p w14:paraId="0A0EFD05" w14:textId="77777777" w:rsidR="00601EC9" w:rsidRDefault="00601EC9" w:rsidP="00601EC9">
      <w:pPr>
        <w:pStyle w:val="Heading2"/>
        <w:numPr>
          <w:ilvl w:val="1"/>
          <w:numId w:val="18"/>
        </w:numPr>
      </w:pPr>
      <w:bookmarkStart w:id="29" w:name="_Toc431898806"/>
      <w:bookmarkStart w:id="30" w:name="_Toc450734063"/>
      <w:r>
        <w:t>Discovery</w:t>
      </w:r>
      <w:bookmarkEnd w:id="29"/>
      <w:bookmarkEnd w:id="30"/>
    </w:p>
    <w:p w14:paraId="7C0D66A1" w14:textId="77777777" w:rsidR="00601EC9" w:rsidRDefault="00601EC9" w:rsidP="00601EC9">
      <w:r>
        <w:t xml:space="preserve">TAXII implementers have a great deal of flexibility in choosing which TAXII Capabilities they support. As noted earlier, TAXII is bound to neither a particular network protocol nor to a particular message binding. In order to facilitate automated communication, TAXII includes the ability to discover the specific TAXII Services a TAXII user (or group of TAXII users) fields, as well as their network address  and supported bindings. This does not remove the need for human involvement in the establishment of sharing agreements - sharing agreement negotiation is outside the scope of TAXII. Discovery does, however, allow for the automated exchange of information about which TAXII Capabilities a Producer might support and the technical mechanisms they employ in doing so. </w:t>
      </w:r>
    </w:p>
    <w:p w14:paraId="29272913" w14:textId="77777777" w:rsidR="00601EC9" w:rsidRDefault="00601EC9" w:rsidP="00601EC9"/>
    <w:p w14:paraId="5E5F77AC" w14:textId="77777777" w:rsidR="00601EC9" w:rsidRPr="0012387E" w:rsidRDefault="00601EC9" w:rsidP="00601EC9">
      <w:pPr>
        <w:pStyle w:val="Heading2"/>
        <w:numPr>
          <w:ilvl w:val="1"/>
          <w:numId w:val="18"/>
        </w:numPr>
      </w:pPr>
      <w:bookmarkStart w:id="31" w:name="_Toc431898807"/>
      <w:bookmarkStart w:id="32" w:name="_Toc450734064"/>
      <w:r>
        <w:t>Query</w:t>
      </w:r>
      <w:bookmarkEnd w:id="31"/>
      <w:bookmarkEnd w:id="32"/>
    </w:p>
    <w:p w14:paraId="0F7EDD0D" w14:textId="77777777" w:rsidR="00601EC9" w:rsidRPr="00E1624A" w:rsidRDefault="00601EC9" w:rsidP="00601EC9">
      <w:bookmarkStart w:id="33" w:name="_Toc287332011"/>
      <w:r>
        <w:t>TAXII Consumers may wish to receive only content that match certain criteria (e.g., pertain to a particular event or mention some specific text). TAXII Query allows Consumers to define criteria that content must match in order to be sent from Producer to Consumer. TAXII Query capabilities are discoverable and can be used with both Push and Pull Messaging.</w:t>
      </w:r>
    </w:p>
    <w:p w14:paraId="529B8B87" w14:textId="77777777" w:rsidR="00601EC9" w:rsidRPr="002503AB" w:rsidRDefault="00601EC9" w:rsidP="00601EC9"/>
    <w:p w14:paraId="344490E3" w14:textId="77777777" w:rsidR="00601EC9" w:rsidRPr="00FD22AC" w:rsidRDefault="00601EC9" w:rsidP="00601EC9">
      <w:pPr>
        <w:pStyle w:val="Heading1"/>
        <w:numPr>
          <w:ilvl w:val="0"/>
          <w:numId w:val="18"/>
        </w:numPr>
      </w:pPr>
      <w:bookmarkStart w:id="34" w:name="_Toc431898808"/>
      <w:bookmarkStart w:id="35" w:name="_Toc450734065"/>
      <w:r w:rsidRPr="00FD22AC">
        <w:lastRenderedPageBreak/>
        <w:t>Conformance</w:t>
      </w:r>
      <w:bookmarkEnd w:id="33"/>
      <w:bookmarkEnd w:id="34"/>
      <w:bookmarkEnd w:id="35"/>
    </w:p>
    <w:p w14:paraId="45771BF2" w14:textId="77777777" w:rsidR="00601EC9" w:rsidRDefault="00601EC9" w:rsidP="00601EC9">
      <w:bookmarkStart w:id="36" w:name="_Toc85472897"/>
      <w:bookmarkStart w:id="37" w:name="_Toc287332012"/>
      <w:r>
        <w:t>In order to claim conformance with TAXII, products and software need to:</w:t>
      </w:r>
    </w:p>
    <w:p w14:paraId="0577F7B2" w14:textId="77777777" w:rsidR="00601EC9" w:rsidRDefault="00601EC9" w:rsidP="00601EC9">
      <w:pPr>
        <w:pStyle w:val="ListParagraph"/>
        <w:numPr>
          <w:ilvl w:val="0"/>
          <w:numId w:val="45"/>
        </w:numPr>
      </w:pPr>
      <w:r>
        <w:t>Be conformant with at least one version of the Services Specification.</w:t>
      </w:r>
    </w:p>
    <w:p w14:paraId="666626E7" w14:textId="77777777" w:rsidR="00601EC9" w:rsidRDefault="00601EC9" w:rsidP="00601EC9">
      <w:pPr>
        <w:pStyle w:val="ListParagraph"/>
        <w:numPr>
          <w:ilvl w:val="0"/>
          <w:numId w:val="45"/>
        </w:numPr>
      </w:pPr>
      <w:r>
        <w:t>Be conformant with at least one version of a Message Binding that is compatible with the Services Specification in #1.</w:t>
      </w:r>
    </w:p>
    <w:p w14:paraId="77EF5171" w14:textId="77777777" w:rsidR="00601EC9" w:rsidRDefault="00601EC9" w:rsidP="00601EC9">
      <w:pPr>
        <w:pStyle w:val="ListParagraph"/>
        <w:numPr>
          <w:ilvl w:val="0"/>
          <w:numId w:val="45"/>
        </w:numPr>
      </w:pPr>
      <w:r>
        <w:t>Be conformant with at least one version of a Protocol Binding that is compatible with the Services Specification in #1.</w:t>
      </w:r>
    </w:p>
    <w:p w14:paraId="331460FA" w14:textId="77777777" w:rsidR="00601EC9" w:rsidRDefault="00601EC9" w:rsidP="00601EC9">
      <w:r>
        <w:t>In all cases either the Version ID associated with a TAXII Binding Specification or the title of the specification can be used to identify particular TAXII bindings when identifying an entity's TAXII conformance.</w:t>
      </w:r>
    </w:p>
    <w:p w14:paraId="2FD9134A" w14:textId="77777777" w:rsidR="00601EC9" w:rsidRDefault="00601EC9" w:rsidP="00601EC9">
      <w:pPr>
        <w:pStyle w:val="AppendixHeading1"/>
        <w:numPr>
          <w:ilvl w:val="0"/>
          <w:numId w:val="37"/>
        </w:numPr>
      </w:pPr>
      <w:bookmarkStart w:id="38" w:name="_Toc431898809"/>
      <w:bookmarkStart w:id="39" w:name="_Toc450734066"/>
      <w:r>
        <w:lastRenderedPageBreak/>
        <w:t>Acknowledgments</w:t>
      </w:r>
      <w:bookmarkEnd w:id="36"/>
      <w:bookmarkEnd w:id="37"/>
      <w:bookmarkEnd w:id="38"/>
      <w:bookmarkEnd w:id="39"/>
    </w:p>
    <w:p w14:paraId="35C5C7C3" w14:textId="77777777" w:rsidR="00601EC9" w:rsidRDefault="00601EC9" w:rsidP="00601EC9">
      <w:r w:rsidRPr="00744FB0">
        <w:t>The individuals listed in this specification have participated in the creation of this specification and are gratefully acknowledged.</w:t>
      </w:r>
    </w:p>
    <w:p w14:paraId="7F8D616C" w14:textId="77777777" w:rsidR="00601EC9" w:rsidRDefault="00601EC9" w:rsidP="00601EC9"/>
    <w:p w14:paraId="6DDF676A" w14:textId="77777777" w:rsidR="00601EC9" w:rsidRDefault="00601EC9" w:rsidP="00601EC9">
      <w:pPr>
        <w:pStyle w:val="Titlepageinfo"/>
      </w:pPr>
      <w:r>
        <w:t>Authors of initial MITRE TAXII Specifications:</w:t>
      </w:r>
      <w:r>
        <w:fldChar w:fldCharType="begin"/>
      </w:r>
      <w:r>
        <w:instrText xml:space="preserve"> MACROBUTTON  </w:instrText>
      </w:r>
      <w:r>
        <w:fldChar w:fldCharType="end"/>
      </w:r>
    </w:p>
    <w:p w14:paraId="2E8F3F07" w14:textId="77777777" w:rsidR="00601EC9" w:rsidRDefault="00601EC9" w:rsidP="00601EC9">
      <w:pPr>
        <w:ind w:left="660"/>
      </w:pPr>
      <w:r>
        <w:t>Mark Davidson, MITRE</w:t>
      </w:r>
      <w:r>
        <w:br/>
        <w:t>Charles Schmidt, MITRE</w:t>
      </w:r>
    </w:p>
    <w:p w14:paraId="4871AA36" w14:textId="77777777" w:rsidR="00601EC9" w:rsidRDefault="00601EC9" w:rsidP="00601EC9"/>
    <w:p w14:paraId="4B9BBC13" w14:textId="77777777" w:rsidR="00601EC9" w:rsidRDefault="00601EC9" w:rsidP="00601EC9">
      <w:pPr>
        <w:pStyle w:val="Titlepageinfo"/>
      </w:pPr>
      <w:r>
        <w:t>Participants:</w:t>
      </w:r>
      <w:r>
        <w:fldChar w:fldCharType="begin"/>
      </w:r>
      <w:r>
        <w:instrText xml:space="preserve"> MACROBUTTON  </w:instrText>
      </w:r>
      <w:r>
        <w:fldChar w:fldCharType="end"/>
      </w:r>
    </w:p>
    <w:p w14:paraId="308AF24E" w14:textId="77777777" w:rsidR="00601EC9" w:rsidRDefault="00601EC9" w:rsidP="00601EC9">
      <w:r>
        <w:t>The following individuals were members of the OASIS CTI Technical Committee during the creation of this specification and their contributions are gratefully acknowledged:</w:t>
      </w:r>
    </w:p>
    <w:p w14:paraId="5D7E6629" w14:textId="77777777" w:rsidR="00601EC9" w:rsidRDefault="00601EC9" w:rsidP="00601EC9">
      <w:pPr>
        <w:pStyle w:val="RelatedWork"/>
      </w:pPr>
      <w:r>
        <w:t>David Crawford, Aetna</w:t>
      </w:r>
    </w:p>
    <w:p w14:paraId="55222C34" w14:textId="77777777" w:rsidR="00601EC9" w:rsidRDefault="00601EC9" w:rsidP="00601EC9">
      <w:pPr>
        <w:pStyle w:val="RelatedWork"/>
      </w:pPr>
      <w:r>
        <w:t>Joerg Eschweiler, Airbus Group SAS</w:t>
      </w:r>
    </w:p>
    <w:p w14:paraId="1B06A3A8" w14:textId="77777777" w:rsidR="00601EC9" w:rsidRDefault="00601EC9" w:rsidP="00601EC9">
      <w:pPr>
        <w:pStyle w:val="RelatedWork"/>
      </w:pPr>
      <w:r>
        <w:t>Marcos Orallo, Airbus Group SAS</w:t>
      </w:r>
    </w:p>
    <w:p w14:paraId="51F1F06F" w14:textId="77777777" w:rsidR="00601EC9" w:rsidRDefault="00601EC9" w:rsidP="00601EC9">
      <w:pPr>
        <w:pStyle w:val="RelatedWork"/>
      </w:pPr>
      <w:r>
        <w:t>Roman Fiedler, AIT Austrian Institute of Technology</w:t>
      </w:r>
    </w:p>
    <w:p w14:paraId="5AC993C1" w14:textId="77777777" w:rsidR="00601EC9" w:rsidRDefault="00601EC9" w:rsidP="00601EC9">
      <w:pPr>
        <w:pStyle w:val="RelatedWork"/>
      </w:pPr>
      <w:r>
        <w:t>Florian Skopik, AIT Austrian Institute of Technology</w:t>
      </w:r>
    </w:p>
    <w:p w14:paraId="0236477B" w14:textId="77777777" w:rsidR="00601EC9" w:rsidRDefault="00601EC9" w:rsidP="00601EC9">
      <w:pPr>
        <w:pStyle w:val="RelatedWork"/>
      </w:pPr>
      <w:r>
        <w:t>Dean Thompson, Australia and New Zealand Banking Group (ANZ Bank)</w:t>
      </w:r>
    </w:p>
    <w:p w14:paraId="7760F087" w14:textId="77777777" w:rsidR="00601EC9" w:rsidRDefault="00601EC9" w:rsidP="00601EC9">
      <w:pPr>
        <w:pStyle w:val="RelatedWork"/>
      </w:pPr>
      <w:r>
        <w:t>Alexander Foley, Bank of America</w:t>
      </w:r>
    </w:p>
    <w:p w14:paraId="40FDBB26" w14:textId="77777777" w:rsidR="00601EC9" w:rsidRDefault="00601EC9" w:rsidP="00601EC9">
      <w:pPr>
        <w:pStyle w:val="RelatedWork"/>
      </w:pPr>
      <w:r>
        <w:t>Yogesh Mudgal, Bloomberg</w:t>
      </w:r>
    </w:p>
    <w:p w14:paraId="610176D2" w14:textId="77777777" w:rsidR="00601EC9" w:rsidRDefault="00601EC9" w:rsidP="00601EC9">
      <w:pPr>
        <w:pStyle w:val="RelatedWork"/>
      </w:pPr>
      <w:r>
        <w:t>Owen Johnson, Blue Coat Systems, Inc.</w:t>
      </w:r>
    </w:p>
    <w:p w14:paraId="10384436" w14:textId="77777777" w:rsidR="00601EC9" w:rsidRDefault="00601EC9" w:rsidP="00601EC9">
      <w:pPr>
        <w:pStyle w:val="RelatedWork"/>
      </w:pPr>
      <w:r>
        <w:t>Bret Jordan, Blue Coat Systems, Inc.</w:t>
      </w:r>
    </w:p>
    <w:p w14:paraId="0CD08E7C" w14:textId="77777777" w:rsidR="00601EC9" w:rsidRDefault="00601EC9" w:rsidP="00601EC9">
      <w:pPr>
        <w:pStyle w:val="RelatedWork"/>
      </w:pPr>
      <w:r>
        <w:t>Adnan Baykal, Center for Internet Security (CIS)</w:t>
      </w:r>
    </w:p>
    <w:p w14:paraId="37F6EA96" w14:textId="77777777" w:rsidR="00601EC9" w:rsidRDefault="00601EC9" w:rsidP="00601EC9">
      <w:pPr>
        <w:pStyle w:val="RelatedWork"/>
      </w:pPr>
      <w:r>
        <w:t>Ron Davidson, Check Point Software Technologies</w:t>
      </w:r>
    </w:p>
    <w:p w14:paraId="16925788" w14:textId="77777777" w:rsidR="00601EC9" w:rsidRDefault="00601EC9" w:rsidP="00601EC9">
      <w:pPr>
        <w:pStyle w:val="RelatedWork"/>
      </w:pPr>
      <w:r>
        <w:t>David McGrew, Cisco Systems</w:t>
      </w:r>
    </w:p>
    <w:p w14:paraId="0734CA7C" w14:textId="77777777" w:rsidR="00601EC9" w:rsidRDefault="00601EC9" w:rsidP="00601EC9">
      <w:pPr>
        <w:pStyle w:val="RelatedWork"/>
      </w:pPr>
      <w:r>
        <w:t>Pavan Reddy, Cisco Systems</w:t>
      </w:r>
    </w:p>
    <w:p w14:paraId="0F48B4DE" w14:textId="77777777" w:rsidR="00601EC9" w:rsidRDefault="00601EC9" w:rsidP="00601EC9">
      <w:pPr>
        <w:pStyle w:val="RelatedWork"/>
      </w:pPr>
      <w:r>
        <w:t>Omar Santos, Cisco Systems</w:t>
      </w:r>
    </w:p>
    <w:p w14:paraId="734F5680" w14:textId="77777777" w:rsidR="00601EC9" w:rsidRDefault="00601EC9" w:rsidP="00601EC9">
      <w:pPr>
        <w:pStyle w:val="RelatedWork"/>
      </w:pPr>
      <w:r>
        <w:t>Jyoti Verma, Cisco Systems</w:t>
      </w:r>
    </w:p>
    <w:p w14:paraId="03667C47" w14:textId="77777777" w:rsidR="00601EC9" w:rsidRDefault="00601EC9" w:rsidP="00601EC9">
      <w:pPr>
        <w:pStyle w:val="RelatedWork"/>
      </w:pPr>
      <w:r>
        <w:t>Liron Schiff, Comilion (mobile) Ltd.</w:t>
      </w:r>
    </w:p>
    <w:p w14:paraId="0DBA68E4" w14:textId="77777777" w:rsidR="00601EC9" w:rsidRDefault="00601EC9" w:rsidP="00601EC9">
      <w:pPr>
        <w:pStyle w:val="RelatedWork"/>
      </w:pPr>
      <w:r>
        <w:t>Guy Wertheim, Comilion (mobile) Ltd.</w:t>
      </w:r>
    </w:p>
    <w:p w14:paraId="4356B60A" w14:textId="77777777" w:rsidR="00601EC9" w:rsidRDefault="00601EC9" w:rsidP="00601EC9">
      <w:pPr>
        <w:pStyle w:val="RelatedWork"/>
      </w:pPr>
      <w:r>
        <w:t>Doug DePeppe, Cyber Threat Intelligence Network, Inc. (CTIN)</w:t>
      </w:r>
    </w:p>
    <w:p w14:paraId="709274D9" w14:textId="77777777" w:rsidR="00601EC9" w:rsidRDefault="00601EC9" w:rsidP="00601EC9">
      <w:pPr>
        <w:pStyle w:val="RelatedWork"/>
      </w:pPr>
      <w:r>
        <w:t>Jane Ginn, Cyber Threat Intelligence Network, Inc. (CTIN)</w:t>
      </w:r>
    </w:p>
    <w:p w14:paraId="3D999328" w14:textId="77777777" w:rsidR="00601EC9" w:rsidRDefault="00601EC9" w:rsidP="00601EC9">
      <w:pPr>
        <w:pStyle w:val="RelatedWork"/>
      </w:pPr>
      <w:r>
        <w:t>Ben Othman, Cyber Threat Intelligence Network, Inc. (CTIN)</w:t>
      </w:r>
    </w:p>
    <w:p w14:paraId="47AF35C8" w14:textId="77777777" w:rsidR="00601EC9" w:rsidRDefault="00601EC9" w:rsidP="00601EC9">
      <w:pPr>
        <w:pStyle w:val="RelatedWork"/>
      </w:pPr>
      <w:r>
        <w:t>Jeff Williams, Dell</w:t>
      </w:r>
    </w:p>
    <w:p w14:paraId="7FE27F75" w14:textId="77777777" w:rsidR="00601EC9" w:rsidRDefault="00601EC9" w:rsidP="00601EC9">
      <w:pPr>
        <w:pStyle w:val="RelatedWork"/>
      </w:pPr>
      <w:r>
        <w:t>Richard Struse, DHS Office of Cybersecurity and Communications (CS&amp;C)</w:t>
      </w:r>
    </w:p>
    <w:p w14:paraId="2F409681" w14:textId="77777777" w:rsidR="00601EC9" w:rsidRDefault="00601EC9" w:rsidP="00601EC9">
      <w:pPr>
        <w:pStyle w:val="RelatedWork"/>
      </w:pPr>
      <w:r>
        <w:t>Marlon Taylor, DHS Office of Cybersecurity and Communications (CS&amp;C)</w:t>
      </w:r>
    </w:p>
    <w:p w14:paraId="5BDA9506" w14:textId="77777777" w:rsidR="00601EC9" w:rsidRDefault="00601EC9" w:rsidP="00601EC9">
      <w:pPr>
        <w:pStyle w:val="RelatedWork"/>
      </w:pPr>
      <w:r>
        <w:t>Dan Brown, DTCC</w:t>
      </w:r>
    </w:p>
    <w:p w14:paraId="6B93EFED" w14:textId="77777777" w:rsidR="00601EC9" w:rsidRDefault="00601EC9" w:rsidP="00601EC9">
      <w:pPr>
        <w:pStyle w:val="RelatedWork"/>
      </w:pPr>
      <w:r>
        <w:t>Gordon Hundley, DTCC</w:t>
      </w:r>
    </w:p>
    <w:p w14:paraId="256854C1" w14:textId="77777777" w:rsidR="00601EC9" w:rsidRDefault="00601EC9" w:rsidP="00601EC9">
      <w:pPr>
        <w:pStyle w:val="RelatedWork"/>
      </w:pPr>
      <w:r>
        <w:t>Chris Koutras, DTCC</w:t>
      </w:r>
    </w:p>
    <w:p w14:paraId="2E883B1E" w14:textId="77777777" w:rsidR="00601EC9" w:rsidRDefault="00601EC9" w:rsidP="00601EC9">
      <w:pPr>
        <w:pStyle w:val="RelatedWork"/>
      </w:pPr>
      <w:r>
        <w:t>Robert Griffin, EMC</w:t>
      </w:r>
    </w:p>
    <w:p w14:paraId="3B50C0EB" w14:textId="77777777" w:rsidR="00601EC9" w:rsidRDefault="00601EC9" w:rsidP="00601EC9">
      <w:pPr>
        <w:pStyle w:val="RelatedWork"/>
      </w:pPr>
      <w:r>
        <w:t>Jeff Odom, EMC</w:t>
      </w:r>
    </w:p>
    <w:p w14:paraId="2405DB1A" w14:textId="77777777" w:rsidR="00601EC9" w:rsidRDefault="00601EC9" w:rsidP="00601EC9">
      <w:pPr>
        <w:pStyle w:val="RelatedWork"/>
      </w:pPr>
      <w:r>
        <w:t>Ravi Sharda, EMC</w:t>
      </w:r>
    </w:p>
    <w:p w14:paraId="6B7347D6" w14:textId="77777777" w:rsidR="00601EC9" w:rsidRDefault="00601EC9" w:rsidP="00601EC9">
      <w:pPr>
        <w:pStyle w:val="RelatedWork"/>
      </w:pPr>
      <w:r>
        <w:t>David Eilken, Financial Services Information Sharing and Analysis Center (FS-ISAC)</w:t>
      </w:r>
    </w:p>
    <w:p w14:paraId="4097DC6C" w14:textId="77777777" w:rsidR="00601EC9" w:rsidRDefault="00601EC9" w:rsidP="00601EC9">
      <w:pPr>
        <w:pStyle w:val="RelatedWork"/>
      </w:pPr>
      <w:r>
        <w:t>Sarah Brown, Fox-IT</w:t>
      </w:r>
    </w:p>
    <w:p w14:paraId="1CEFE27E" w14:textId="77777777" w:rsidR="00601EC9" w:rsidRDefault="00601EC9" w:rsidP="00601EC9">
      <w:pPr>
        <w:pStyle w:val="RelatedWork"/>
      </w:pPr>
      <w:r>
        <w:t>Ryusuke Masuoka, Fujitsu Limited</w:t>
      </w:r>
    </w:p>
    <w:p w14:paraId="1A216AE9" w14:textId="77777777" w:rsidR="00601EC9" w:rsidRDefault="00601EC9" w:rsidP="00601EC9">
      <w:pPr>
        <w:pStyle w:val="RelatedWork"/>
      </w:pPr>
      <w:r>
        <w:t>Eric Burger, Georgetown University</w:t>
      </w:r>
    </w:p>
    <w:p w14:paraId="2254FACD" w14:textId="77777777" w:rsidR="00601EC9" w:rsidRDefault="00601EC9" w:rsidP="00601EC9">
      <w:pPr>
        <w:pStyle w:val="RelatedWork"/>
      </w:pPr>
      <w:r>
        <w:t>Peter Allor, IBM</w:t>
      </w:r>
    </w:p>
    <w:p w14:paraId="312640CC" w14:textId="77777777" w:rsidR="00601EC9" w:rsidRDefault="00601EC9" w:rsidP="00601EC9">
      <w:pPr>
        <w:pStyle w:val="RelatedWork"/>
      </w:pPr>
      <w:r>
        <w:t>Eldan Ben-Haim, IBM</w:t>
      </w:r>
    </w:p>
    <w:p w14:paraId="2390A009" w14:textId="77777777" w:rsidR="00601EC9" w:rsidRDefault="00601EC9" w:rsidP="00601EC9">
      <w:pPr>
        <w:pStyle w:val="RelatedWork"/>
      </w:pPr>
      <w:r>
        <w:t>Peter Clark, IBM</w:t>
      </w:r>
    </w:p>
    <w:p w14:paraId="7E584F82" w14:textId="77777777" w:rsidR="00601EC9" w:rsidRDefault="00601EC9" w:rsidP="00601EC9">
      <w:pPr>
        <w:pStyle w:val="RelatedWork"/>
      </w:pPr>
      <w:r>
        <w:t>Sandra Hernandez, IBM</w:t>
      </w:r>
    </w:p>
    <w:p w14:paraId="1CEF310E" w14:textId="77777777" w:rsidR="00601EC9" w:rsidRDefault="00601EC9" w:rsidP="00601EC9">
      <w:pPr>
        <w:pStyle w:val="RelatedWork"/>
      </w:pPr>
      <w:r>
        <w:lastRenderedPageBreak/>
        <w:t>Jason Keirstead, IBM</w:t>
      </w:r>
    </w:p>
    <w:p w14:paraId="1F399F42" w14:textId="77777777" w:rsidR="00601EC9" w:rsidRDefault="00601EC9" w:rsidP="00601EC9">
      <w:pPr>
        <w:pStyle w:val="RelatedWork"/>
      </w:pPr>
      <w:r>
        <w:t>John Morris, IBM</w:t>
      </w:r>
    </w:p>
    <w:p w14:paraId="7FC4DEA0" w14:textId="77777777" w:rsidR="00601EC9" w:rsidRDefault="00601EC9" w:rsidP="00601EC9">
      <w:pPr>
        <w:pStyle w:val="RelatedWork"/>
      </w:pPr>
      <w:r>
        <w:t>Arvid Van Essche, IBM</w:t>
      </w:r>
    </w:p>
    <w:p w14:paraId="3E9D8AD3" w14:textId="77777777" w:rsidR="00601EC9" w:rsidRDefault="00601EC9" w:rsidP="00601EC9">
      <w:pPr>
        <w:pStyle w:val="RelatedWork"/>
      </w:pPr>
      <w:r>
        <w:t>Ron Williams, IBM</w:t>
      </w:r>
    </w:p>
    <w:p w14:paraId="3CE398D8" w14:textId="77777777" w:rsidR="00601EC9" w:rsidRDefault="00601EC9" w:rsidP="00601EC9">
      <w:pPr>
        <w:pStyle w:val="RelatedWork"/>
      </w:pPr>
      <w:r>
        <w:t>Paul Martini, iboss, Inc.</w:t>
      </w:r>
    </w:p>
    <w:p w14:paraId="6D8CC635" w14:textId="77777777" w:rsidR="00601EC9" w:rsidRDefault="00601EC9" w:rsidP="00601EC9">
      <w:pPr>
        <w:pStyle w:val="RelatedWork"/>
      </w:pPr>
      <w:r>
        <w:t>Chris Richardson, IID</w:t>
      </w:r>
    </w:p>
    <w:p w14:paraId="363BB687" w14:textId="77777777" w:rsidR="00601EC9" w:rsidRDefault="00601EC9" w:rsidP="00601EC9">
      <w:pPr>
        <w:pStyle w:val="RelatedWork"/>
      </w:pPr>
      <w:r>
        <w:t>Jerome Athias, Individual</w:t>
      </w:r>
    </w:p>
    <w:p w14:paraId="2BD61BE1" w14:textId="77777777" w:rsidR="00601EC9" w:rsidRDefault="00601EC9" w:rsidP="00601EC9">
      <w:pPr>
        <w:pStyle w:val="RelatedWork"/>
      </w:pPr>
      <w:r>
        <w:t>Peter Brown, Individual</w:t>
      </w:r>
    </w:p>
    <w:p w14:paraId="4FF8617A" w14:textId="77777777" w:rsidR="00601EC9" w:rsidRDefault="00601EC9" w:rsidP="00601EC9">
      <w:pPr>
        <w:pStyle w:val="RelatedWork"/>
      </w:pPr>
      <w:r>
        <w:t>Elysa Jones, Individual</w:t>
      </w:r>
    </w:p>
    <w:p w14:paraId="06C05DE4" w14:textId="77777777" w:rsidR="00601EC9" w:rsidRDefault="00601EC9" w:rsidP="00601EC9">
      <w:pPr>
        <w:pStyle w:val="RelatedWork"/>
      </w:pPr>
      <w:r>
        <w:t>Sanjiv Kalkar, Individual</w:t>
      </w:r>
    </w:p>
    <w:p w14:paraId="1CDE9BC4" w14:textId="77777777" w:rsidR="00601EC9" w:rsidRDefault="00601EC9" w:rsidP="00601EC9">
      <w:pPr>
        <w:pStyle w:val="RelatedWork"/>
      </w:pPr>
      <w:r>
        <w:t>Bar Lockwood, Individual</w:t>
      </w:r>
    </w:p>
    <w:p w14:paraId="230A80ED" w14:textId="77777777" w:rsidR="00601EC9" w:rsidRDefault="00601EC9" w:rsidP="00601EC9">
      <w:pPr>
        <w:pStyle w:val="RelatedWork"/>
      </w:pPr>
      <w:r>
        <w:t>Terry MacDonald, Individual</w:t>
      </w:r>
    </w:p>
    <w:p w14:paraId="6500CBF4" w14:textId="77777777" w:rsidR="00601EC9" w:rsidRDefault="00601EC9" w:rsidP="00601EC9">
      <w:pPr>
        <w:pStyle w:val="RelatedWork"/>
      </w:pPr>
      <w:r>
        <w:t>Alex Pinto, Individual</w:t>
      </w:r>
    </w:p>
    <w:p w14:paraId="2B69B88E" w14:textId="77777777" w:rsidR="00601EC9" w:rsidRDefault="00601EC9" w:rsidP="00601EC9">
      <w:pPr>
        <w:pStyle w:val="RelatedWork"/>
      </w:pPr>
      <w:r>
        <w:t>Michael Schwartz, Individual</w:t>
      </w:r>
    </w:p>
    <w:p w14:paraId="11D9E0A0" w14:textId="77777777" w:rsidR="00601EC9" w:rsidRDefault="00601EC9" w:rsidP="00601EC9">
      <w:pPr>
        <w:pStyle w:val="RelatedWork"/>
      </w:pPr>
      <w:r>
        <w:t>Patrick Maroney, Integrated Networking Technologies, Inc.</w:t>
      </w:r>
    </w:p>
    <w:p w14:paraId="6E8B2713" w14:textId="77777777" w:rsidR="00601EC9" w:rsidRDefault="00601EC9" w:rsidP="00601EC9">
      <w:pPr>
        <w:pStyle w:val="RelatedWork"/>
      </w:pPr>
      <w:r>
        <w:t>Andres More, Intel Corporation</w:t>
      </w:r>
    </w:p>
    <w:p w14:paraId="6B66F2A5" w14:textId="77777777" w:rsidR="00601EC9" w:rsidRDefault="00601EC9" w:rsidP="00601EC9">
      <w:pPr>
        <w:pStyle w:val="RelatedWork"/>
      </w:pPr>
      <w:r>
        <w:t>Wouter Bolsterlee, Intelworks BV</w:t>
      </w:r>
    </w:p>
    <w:p w14:paraId="67778FC3" w14:textId="77777777" w:rsidR="00601EC9" w:rsidRDefault="00601EC9" w:rsidP="00601EC9">
      <w:pPr>
        <w:pStyle w:val="RelatedWork"/>
      </w:pPr>
      <w:r>
        <w:t>Marko Dragoljevic, Intelworks BV</w:t>
      </w:r>
    </w:p>
    <w:p w14:paraId="70D3145D" w14:textId="77777777" w:rsidR="00601EC9" w:rsidRDefault="00601EC9" w:rsidP="00601EC9">
      <w:pPr>
        <w:pStyle w:val="RelatedWork"/>
      </w:pPr>
      <w:r>
        <w:t>Joep Gommers, Intelworks BV</w:t>
      </w:r>
    </w:p>
    <w:p w14:paraId="6CC11C88" w14:textId="77777777" w:rsidR="00601EC9" w:rsidRDefault="00601EC9" w:rsidP="00601EC9">
      <w:pPr>
        <w:pStyle w:val="RelatedWork"/>
      </w:pPr>
      <w:r>
        <w:t>Sergey Polzunov, Intelworks BV</w:t>
      </w:r>
    </w:p>
    <w:p w14:paraId="47708B36" w14:textId="77777777" w:rsidR="00601EC9" w:rsidRDefault="00601EC9" w:rsidP="00601EC9">
      <w:pPr>
        <w:pStyle w:val="RelatedWork"/>
      </w:pPr>
      <w:r>
        <w:t>Rutger Prins, Intelworks BV</w:t>
      </w:r>
    </w:p>
    <w:p w14:paraId="43996F8F" w14:textId="77777777" w:rsidR="00601EC9" w:rsidRDefault="00601EC9" w:rsidP="00601EC9">
      <w:pPr>
        <w:pStyle w:val="RelatedWork"/>
      </w:pPr>
      <w:r>
        <w:t>Andrei Sîrghi, Intelworks BV</w:t>
      </w:r>
    </w:p>
    <w:p w14:paraId="70598BBA" w14:textId="77777777" w:rsidR="00601EC9" w:rsidRDefault="00601EC9" w:rsidP="00601EC9">
      <w:pPr>
        <w:pStyle w:val="RelatedWork"/>
      </w:pPr>
      <w:r>
        <w:t>Raymon van der Velde, Intelworks BV</w:t>
      </w:r>
    </w:p>
    <w:p w14:paraId="3652430D" w14:textId="77777777" w:rsidR="00601EC9" w:rsidRDefault="00601EC9" w:rsidP="00601EC9">
      <w:pPr>
        <w:pStyle w:val="RelatedWork"/>
      </w:pPr>
      <w:r>
        <w:t>Niels van Dijk, Intelworks BV</w:t>
      </w:r>
    </w:p>
    <w:p w14:paraId="0CE31388" w14:textId="77777777" w:rsidR="00601EC9" w:rsidRDefault="00601EC9" w:rsidP="00601EC9">
      <w:pPr>
        <w:pStyle w:val="RelatedWork"/>
      </w:pPr>
      <w:r>
        <w:t>Robert Huber, iSIGHT Partners, Inc.</w:t>
      </w:r>
    </w:p>
    <w:p w14:paraId="7E70F8A8" w14:textId="77777777" w:rsidR="00601EC9" w:rsidRDefault="00601EC9" w:rsidP="00601EC9">
      <w:pPr>
        <w:pStyle w:val="RelatedWork"/>
      </w:pPr>
      <w:r>
        <w:t>Ben Huguenin, Johns Hopkins University Applied Physics Laboratory</w:t>
      </w:r>
    </w:p>
    <w:p w14:paraId="584A6218" w14:textId="77777777" w:rsidR="00601EC9" w:rsidRDefault="00601EC9" w:rsidP="00601EC9">
      <w:pPr>
        <w:pStyle w:val="RelatedWork"/>
      </w:pPr>
      <w:r>
        <w:t>Mark Moss, Johns Hopkins University Applied Physics Laboratory</w:t>
      </w:r>
    </w:p>
    <w:p w14:paraId="38A21E2B" w14:textId="77777777" w:rsidR="00601EC9" w:rsidRDefault="00601EC9" w:rsidP="00601EC9">
      <w:pPr>
        <w:pStyle w:val="RelatedWork"/>
      </w:pPr>
      <w:r>
        <w:t>Pamela Smith, Johns Hopkins University Applied Physics Laboratory</w:t>
      </w:r>
    </w:p>
    <w:p w14:paraId="3E6C1D3B" w14:textId="77777777" w:rsidR="00601EC9" w:rsidRDefault="00601EC9" w:rsidP="00601EC9">
      <w:pPr>
        <w:pStyle w:val="RelatedWork"/>
      </w:pPr>
      <w:r>
        <w:t>Terrence Driscoll, JPMorgan Chase Bank, N.A.</w:t>
      </w:r>
    </w:p>
    <w:p w14:paraId="54AA3075" w14:textId="77777777" w:rsidR="00601EC9" w:rsidRDefault="00601EC9" w:rsidP="00601EC9">
      <w:pPr>
        <w:pStyle w:val="RelatedWork"/>
      </w:pPr>
      <w:r>
        <w:t>David Laurance, JPMorgan Chase Bank, N.A.</w:t>
      </w:r>
    </w:p>
    <w:p w14:paraId="2011D20C" w14:textId="77777777" w:rsidR="00601EC9" w:rsidRDefault="00601EC9" w:rsidP="00601EC9">
      <w:pPr>
        <w:pStyle w:val="RelatedWork"/>
      </w:pPr>
      <w:r>
        <w:t>Brandon Hoffman, Lumeta Corporation</w:t>
      </w:r>
    </w:p>
    <w:p w14:paraId="66B3CC28" w14:textId="77777777" w:rsidR="00601EC9" w:rsidRDefault="00601EC9" w:rsidP="00601EC9">
      <w:pPr>
        <w:pStyle w:val="RelatedWork"/>
      </w:pPr>
      <w:r>
        <w:t>Jonathan Baker, Mitre Corporation</w:t>
      </w:r>
    </w:p>
    <w:p w14:paraId="1AAC0468" w14:textId="77777777" w:rsidR="00601EC9" w:rsidRDefault="00601EC9" w:rsidP="00601EC9">
      <w:pPr>
        <w:pStyle w:val="RelatedWork"/>
      </w:pPr>
      <w:r>
        <w:t>Sean Barnum, Mitre Corporation</w:t>
      </w:r>
    </w:p>
    <w:p w14:paraId="16FF1312" w14:textId="77777777" w:rsidR="00601EC9" w:rsidRDefault="00601EC9" w:rsidP="00601EC9">
      <w:pPr>
        <w:pStyle w:val="RelatedWork"/>
      </w:pPr>
      <w:r>
        <w:t>Mark Davidson, Mitre Corporation</w:t>
      </w:r>
    </w:p>
    <w:p w14:paraId="528B44D9" w14:textId="77777777" w:rsidR="00601EC9" w:rsidRDefault="00601EC9" w:rsidP="00601EC9">
      <w:pPr>
        <w:pStyle w:val="RelatedWork"/>
      </w:pPr>
      <w:r>
        <w:t>Jasen Jacobsen, Mitre Corporation</w:t>
      </w:r>
    </w:p>
    <w:p w14:paraId="43DD1239" w14:textId="77777777" w:rsidR="00601EC9" w:rsidRDefault="00601EC9" w:rsidP="00601EC9">
      <w:pPr>
        <w:pStyle w:val="RelatedWork"/>
      </w:pPr>
      <w:r>
        <w:t>Ivan Kirillov, Mitre Corporation</w:t>
      </w:r>
    </w:p>
    <w:p w14:paraId="09DEB695" w14:textId="77777777" w:rsidR="00601EC9" w:rsidRDefault="00601EC9" w:rsidP="00601EC9">
      <w:pPr>
        <w:pStyle w:val="RelatedWork"/>
      </w:pPr>
      <w:r>
        <w:t>Jon Salwen, Mitre Corporation</w:t>
      </w:r>
    </w:p>
    <w:p w14:paraId="400F17BE" w14:textId="77777777" w:rsidR="00601EC9" w:rsidRDefault="00601EC9" w:rsidP="00601EC9">
      <w:pPr>
        <w:pStyle w:val="RelatedWork"/>
      </w:pPr>
      <w:r>
        <w:t>Charles Schmidt, Mitre Corporation</w:t>
      </w:r>
    </w:p>
    <w:p w14:paraId="353EFCCD" w14:textId="77777777" w:rsidR="00601EC9" w:rsidRDefault="00601EC9" w:rsidP="00601EC9">
      <w:pPr>
        <w:pStyle w:val="RelatedWork"/>
      </w:pPr>
      <w:r>
        <w:t>John Wunder, Mitre Corporation</w:t>
      </w:r>
    </w:p>
    <w:p w14:paraId="4377BBFA" w14:textId="77777777" w:rsidR="00601EC9" w:rsidRDefault="00601EC9" w:rsidP="00601EC9">
      <w:pPr>
        <w:pStyle w:val="RelatedWork"/>
      </w:pPr>
      <w:r>
        <w:t>James Cabral, MTG Management Consultants, LLC.</w:t>
      </w:r>
    </w:p>
    <w:p w14:paraId="63733FCF" w14:textId="77777777" w:rsidR="00601EC9" w:rsidRDefault="00601EC9" w:rsidP="00601EC9">
      <w:pPr>
        <w:pStyle w:val="RelatedWork"/>
      </w:pPr>
      <w:r>
        <w:t>Scott Algeier, National Council of ISACs (NCI)</w:t>
      </w:r>
    </w:p>
    <w:p w14:paraId="5763C7CE" w14:textId="77777777" w:rsidR="00601EC9" w:rsidRDefault="00601EC9" w:rsidP="00601EC9">
      <w:pPr>
        <w:pStyle w:val="RelatedWork"/>
      </w:pPr>
      <w:r>
        <w:t>Denise Anderson, National Council of ISACs (NCI)</w:t>
      </w:r>
    </w:p>
    <w:p w14:paraId="29F52159" w14:textId="77777777" w:rsidR="00601EC9" w:rsidRDefault="00601EC9" w:rsidP="00601EC9">
      <w:pPr>
        <w:pStyle w:val="RelatedWork"/>
      </w:pPr>
      <w:r>
        <w:t>Josh Poster, National Council of ISACs (NCI)</w:t>
      </w:r>
    </w:p>
    <w:p w14:paraId="3C0D224F" w14:textId="77777777" w:rsidR="00601EC9" w:rsidRDefault="00601EC9" w:rsidP="00601EC9">
      <w:pPr>
        <w:pStyle w:val="RelatedWork"/>
      </w:pPr>
      <w:r>
        <w:t>Mike Boyle, National Security Agency</w:t>
      </w:r>
    </w:p>
    <w:p w14:paraId="5EE9F568" w14:textId="77777777" w:rsidR="00601EC9" w:rsidRDefault="00601EC9" w:rsidP="00601EC9">
      <w:pPr>
        <w:pStyle w:val="RelatedWork"/>
      </w:pPr>
      <w:r>
        <w:t>Jessica Fitzgerald-McKay, National Security Agency</w:t>
      </w:r>
    </w:p>
    <w:p w14:paraId="3AC4100F" w14:textId="77777777" w:rsidR="00601EC9" w:rsidRDefault="00601EC9" w:rsidP="00601EC9">
      <w:pPr>
        <w:pStyle w:val="RelatedWork"/>
      </w:pPr>
      <w:r>
        <w:t>Takahiro Kakumaru, NEC Corporation</w:t>
      </w:r>
    </w:p>
    <w:p w14:paraId="00B7314F" w14:textId="77777777" w:rsidR="00601EC9" w:rsidRDefault="00601EC9" w:rsidP="00601EC9">
      <w:pPr>
        <w:pStyle w:val="RelatedWork"/>
      </w:pPr>
      <w:r>
        <w:t>John-Mark Gurney, New Context Services, Inc.</w:t>
      </w:r>
    </w:p>
    <w:p w14:paraId="0EEB5B26" w14:textId="77777777" w:rsidR="00601EC9" w:rsidRDefault="00601EC9" w:rsidP="00601EC9">
      <w:pPr>
        <w:pStyle w:val="RelatedWork"/>
      </w:pPr>
      <w:r>
        <w:t>Christian Hunt, New Context Services, Inc.</w:t>
      </w:r>
    </w:p>
    <w:p w14:paraId="7614842A" w14:textId="77777777" w:rsidR="00601EC9" w:rsidRDefault="00601EC9" w:rsidP="00601EC9">
      <w:pPr>
        <w:pStyle w:val="RelatedWork"/>
      </w:pPr>
      <w:r>
        <w:t>Daniel Riedel, New Context Services, Inc.</w:t>
      </w:r>
    </w:p>
    <w:p w14:paraId="0C1F2FEA" w14:textId="77777777" w:rsidR="00601EC9" w:rsidRDefault="00601EC9" w:rsidP="00601EC9">
      <w:pPr>
        <w:pStyle w:val="RelatedWork"/>
      </w:pPr>
      <w:r>
        <w:t>Andrew Storms, New Context Services, Inc.</w:t>
      </w:r>
    </w:p>
    <w:p w14:paraId="31301A25" w14:textId="77777777" w:rsidR="00601EC9" w:rsidRDefault="00601EC9" w:rsidP="00601EC9">
      <w:pPr>
        <w:pStyle w:val="RelatedWork"/>
      </w:pPr>
      <w:r>
        <w:t>Nat Sakimura, Nomura Research Institute, Ltd. (NRI)</w:t>
      </w:r>
    </w:p>
    <w:p w14:paraId="446B829E" w14:textId="6DFE92A0" w:rsidR="00601EC9" w:rsidRDefault="00601EC9" w:rsidP="00BE084D">
      <w:pPr>
        <w:pStyle w:val="RelatedWork"/>
      </w:pPr>
      <w:r>
        <w:t>David Darnell, North American Energy Standards Board</w:t>
      </w:r>
    </w:p>
    <w:p w14:paraId="6B7ED10C" w14:textId="77777777" w:rsidR="00601EC9" w:rsidRDefault="00601EC9" w:rsidP="00601EC9">
      <w:pPr>
        <w:pStyle w:val="RelatedWork"/>
      </w:pPr>
      <w:r>
        <w:t>Cory Casanave, Object Management Group</w:t>
      </w:r>
    </w:p>
    <w:p w14:paraId="7B26978A" w14:textId="77777777" w:rsidR="00601EC9" w:rsidRDefault="00601EC9" w:rsidP="00601EC9">
      <w:pPr>
        <w:pStyle w:val="RelatedWork"/>
      </w:pPr>
      <w:r>
        <w:t>Don Thibeau, Open Identity Exchange</w:t>
      </w:r>
    </w:p>
    <w:p w14:paraId="4FCEA485" w14:textId="77777777" w:rsidR="00601EC9" w:rsidRDefault="00601EC9" w:rsidP="00601EC9">
      <w:pPr>
        <w:pStyle w:val="RelatedWork"/>
      </w:pPr>
      <w:r>
        <w:lastRenderedPageBreak/>
        <w:t>Vishaal Hariprasad, Palo Alto Networks</w:t>
      </w:r>
    </w:p>
    <w:p w14:paraId="458A691E" w14:textId="77777777" w:rsidR="00601EC9" w:rsidRDefault="00601EC9" w:rsidP="00601EC9">
      <w:pPr>
        <w:pStyle w:val="RelatedWork"/>
      </w:pPr>
      <w:r>
        <w:t>John Tolbert, Queralt, Inc.</w:t>
      </w:r>
    </w:p>
    <w:p w14:paraId="24EDFF5E" w14:textId="77777777" w:rsidR="00601EC9" w:rsidRDefault="00601EC9" w:rsidP="00601EC9">
      <w:pPr>
        <w:pStyle w:val="RelatedWork"/>
      </w:pPr>
      <w:r>
        <w:t>Daniel Wyschogrod, Raytheon Company-SAS</w:t>
      </w:r>
    </w:p>
    <w:p w14:paraId="596A7B75" w14:textId="77777777" w:rsidR="00601EC9" w:rsidRDefault="00601EC9" w:rsidP="00601EC9">
      <w:pPr>
        <w:pStyle w:val="RelatedWork"/>
      </w:pPr>
      <w:r>
        <w:t>Ted Julian, Resilient Systems, Inc..</w:t>
      </w:r>
    </w:p>
    <w:p w14:paraId="650F2E30" w14:textId="77777777" w:rsidR="00601EC9" w:rsidRDefault="00601EC9" w:rsidP="00601EC9">
      <w:pPr>
        <w:pStyle w:val="RelatedWork"/>
      </w:pPr>
      <w:r>
        <w:t>Brian Engle, Retail Cyber Intelligence Sharing Center (R-CISC)</w:t>
      </w:r>
    </w:p>
    <w:p w14:paraId="126BDCDA" w14:textId="77777777" w:rsidR="00601EC9" w:rsidRDefault="00601EC9" w:rsidP="00601EC9">
      <w:pPr>
        <w:pStyle w:val="RelatedWork"/>
      </w:pPr>
      <w:r>
        <w:t>Igor Baikalov, Securonix</w:t>
      </w:r>
    </w:p>
    <w:p w14:paraId="4F0462DF" w14:textId="77777777" w:rsidR="00601EC9" w:rsidRDefault="00601EC9" w:rsidP="00601EC9">
      <w:pPr>
        <w:pStyle w:val="RelatedWork"/>
      </w:pPr>
      <w:r>
        <w:t>Bernd Grobauer, Siemens AG</w:t>
      </w:r>
    </w:p>
    <w:p w14:paraId="7651F062" w14:textId="77777777" w:rsidR="00601EC9" w:rsidRDefault="00601EC9" w:rsidP="00601EC9">
      <w:pPr>
        <w:pStyle w:val="RelatedWork"/>
      </w:pPr>
      <w:r>
        <w:t>John Anderson, Soltra</w:t>
      </w:r>
    </w:p>
    <w:p w14:paraId="407FC49B" w14:textId="77777777" w:rsidR="00601EC9" w:rsidRDefault="00601EC9" w:rsidP="00601EC9">
      <w:pPr>
        <w:pStyle w:val="RelatedWork"/>
      </w:pPr>
      <w:r>
        <w:t>Aishwarya Asok Kumar, Soltra</w:t>
      </w:r>
    </w:p>
    <w:p w14:paraId="00A64275" w14:textId="77777777" w:rsidR="00601EC9" w:rsidRDefault="00601EC9" w:rsidP="00601EC9">
      <w:pPr>
        <w:pStyle w:val="RelatedWork"/>
      </w:pPr>
      <w:r>
        <w:t>Peter Ayasse, Soltra</w:t>
      </w:r>
    </w:p>
    <w:p w14:paraId="0550354F" w14:textId="77777777" w:rsidR="00601EC9" w:rsidRDefault="00601EC9" w:rsidP="00601EC9">
      <w:pPr>
        <w:pStyle w:val="RelatedWork"/>
      </w:pPr>
      <w:r>
        <w:t>Jeff Beekman, Soltra</w:t>
      </w:r>
    </w:p>
    <w:p w14:paraId="7119D105" w14:textId="77777777" w:rsidR="00601EC9" w:rsidRDefault="00601EC9" w:rsidP="00601EC9">
      <w:pPr>
        <w:pStyle w:val="RelatedWork"/>
      </w:pPr>
      <w:r>
        <w:t>Jonathan Bush, Soltra</w:t>
      </w:r>
    </w:p>
    <w:p w14:paraId="0674906F" w14:textId="77777777" w:rsidR="00601EC9" w:rsidRDefault="00601EC9" w:rsidP="00601EC9">
      <w:pPr>
        <w:pStyle w:val="RelatedWork"/>
      </w:pPr>
      <w:r>
        <w:t>Michael Butt, Soltra</w:t>
      </w:r>
    </w:p>
    <w:p w14:paraId="40D59DDC" w14:textId="77777777" w:rsidR="00601EC9" w:rsidRDefault="00601EC9" w:rsidP="00601EC9">
      <w:pPr>
        <w:pStyle w:val="RelatedWork"/>
      </w:pPr>
      <w:r>
        <w:t>Cynthia Camacho, Soltra</w:t>
      </w:r>
    </w:p>
    <w:p w14:paraId="5E15C8DA" w14:textId="77777777" w:rsidR="00601EC9" w:rsidRDefault="00601EC9" w:rsidP="00601EC9">
      <w:pPr>
        <w:pStyle w:val="RelatedWork"/>
      </w:pPr>
      <w:r>
        <w:t>Aharon Chernin, Soltra</w:t>
      </w:r>
    </w:p>
    <w:p w14:paraId="04C73B6D" w14:textId="77777777" w:rsidR="00601EC9" w:rsidRDefault="00601EC9" w:rsidP="00601EC9">
      <w:pPr>
        <w:pStyle w:val="RelatedWork"/>
      </w:pPr>
      <w:r>
        <w:t>Mark Clancy, Soltra</w:t>
      </w:r>
    </w:p>
    <w:p w14:paraId="6A3F6B1C" w14:textId="77777777" w:rsidR="00601EC9" w:rsidRDefault="00601EC9" w:rsidP="00601EC9">
      <w:pPr>
        <w:pStyle w:val="RelatedWork"/>
      </w:pPr>
      <w:r>
        <w:t>Brady Cotton, Soltra</w:t>
      </w:r>
    </w:p>
    <w:p w14:paraId="1DFCF8F3" w14:textId="77777777" w:rsidR="00601EC9" w:rsidRDefault="00601EC9" w:rsidP="00601EC9">
      <w:pPr>
        <w:pStyle w:val="RelatedWork"/>
      </w:pPr>
      <w:r>
        <w:t>Trey Darley, Soltra</w:t>
      </w:r>
    </w:p>
    <w:p w14:paraId="0CE74BB6" w14:textId="77777777" w:rsidR="00601EC9" w:rsidRDefault="00601EC9" w:rsidP="00601EC9">
      <w:pPr>
        <w:pStyle w:val="RelatedWork"/>
      </w:pPr>
      <w:r>
        <w:t>Paul Dion, Soltra</w:t>
      </w:r>
    </w:p>
    <w:p w14:paraId="205038E5" w14:textId="77777777" w:rsidR="00601EC9" w:rsidRDefault="00601EC9" w:rsidP="00601EC9">
      <w:pPr>
        <w:pStyle w:val="RelatedWork"/>
      </w:pPr>
      <w:r>
        <w:t>Daniel Dye, Soltra</w:t>
      </w:r>
    </w:p>
    <w:p w14:paraId="40A37060" w14:textId="77777777" w:rsidR="00601EC9" w:rsidRDefault="00601EC9" w:rsidP="00601EC9">
      <w:pPr>
        <w:pStyle w:val="RelatedWork"/>
      </w:pPr>
      <w:r>
        <w:t>Brandon Hanes, Soltra</w:t>
      </w:r>
    </w:p>
    <w:p w14:paraId="591ADBC7" w14:textId="77777777" w:rsidR="00601EC9" w:rsidRDefault="00601EC9" w:rsidP="00601EC9">
      <w:pPr>
        <w:pStyle w:val="RelatedWork"/>
      </w:pPr>
      <w:r>
        <w:t>Robert Hutto, Soltra</w:t>
      </w:r>
    </w:p>
    <w:p w14:paraId="766E5761" w14:textId="77777777" w:rsidR="00601EC9" w:rsidRDefault="00601EC9" w:rsidP="00601EC9">
      <w:pPr>
        <w:pStyle w:val="RelatedWork"/>
      </w:pPr>
      <w:r>
        <w:t>Ali Khan, Soltra</w:t>
      </w:r>
    </w:p>
    <w:p w14:paraId="021B0846" w14:textId="77777777" w:rsidR="00601EC9" w:rsidRDefault="00601EC9" w:rsidP="00601EC9">
      <w:pPr>
        <w:pStyle w:val="RelatedWork"/>
      </w:pPr>
      <w:r>
        <w:t>Chris Kiehl, Soltra</w:t>
      </w:r>
    </w:p>
    <w:p w14:paraId="6219056C" w14:textId="77777777" w:rsidR="00601EC9" w:rsidRDefault="00601EC9" w:rsidP="00601EC9">
      <w:pPr>
        <w:pStyle w:val="RelatedWork"/>
      </w:pPr>
      <w:r>
        <w:t>Michael Pepin, Soltra</w:t>
      </w:r>
    </w:p>
    <w:p w14:paraId="74F1EF94" w14:textId="77777777" w:rsidR="00601EC9" w:rsidRDefault="00601EC9" w:rsidP="00601EC9">
      <w:pPr>
        <w:pStyle w:val="RelatedWork"/>
      </w:pPr>
      <w:r>
        <w:t>Natalie Suarez, Soltra</w:t>
      </w:r>
    </w:p>
    <w:p w14:paraId="0080EE77" w14:textId="77777777" w:rsidR="00601EC9" w:rsidRDefault="00601EC9" w:rsidP="00601EC9">
      <w:pPr>
        <w:pStyle w:val="RelatedWork"/>
      </w:pPr>
      <w:r>
        <w:t>David Waters, Soltra</w:t>
      </w:r>
    </w:p>
    <w:p w14:paraId="6D48FBB5" w14:textId="77777777" w:rsidR="00601EC9" w:rsidRDefault="00601EC9" w:rsidP="00601EC9">
      <w:pPr>
        <w:pStyle w:val="RelatedWork"/>
      </w:pPr>
      <w:r>
        <w:t>Chip Wickenden, Soltra</w:t>
      </w:r>
    </w:p>
    <w:p w14:paraId="23ED3C9A" w14:textId="77777777" w:rsidR="00601EC9" w:rsidRDefault="00601EC9" w:rsidP="00601EC9">
      <w:pPr>
        <w:pStyle w:val="RelatedWork"/>
      </w:pPr>
      <w:r>
        <w:t>Benjamin Yates, Soltra</w:t>
      </w:r>
    </w:p>
    <w:p w14:paraId="5F3AA9E6" w14:textId="77777777" w:rsidR="00601EC9" w:rsidRDefault="00601EC9" w:rsidP="00601EC9">
      <w:pPr>
        <w:pStyle w:val="RelatedWork"/>
      </w:pPr>
      <w:r>
        <w:t>Cedric LeRoux, Splunk Inc.</w:t>
      </w:r>
    </w:p>
    <w:p w14:paraId="2DC11FDF" w14:textId="77777777" w:rsidR="00601EC9" w:rsidRDefault="00601EC9" w:rsidP="00601EC9">
      <w:pPr>
        <w:pStyle w:val="RelatedWork"/>
      </w:pPr>
      <w:r>
        <w:t>Brian Luger, Splunk Inc.</w:t>
      </w:r>
    </w:p>
    <w:p w14:paraId="78738091" w14:textId="77777777" w:rsidR="00601EC9" w:rsidRDefault="00601EC9" w:rsidP="00601EC9">
      <w:pPr>
        <w:pStyle w:val="RelatedWork"/>
      </w:pPr>
      <w:r>
        <w:t>Kathy Wang, Splunk Inc.</w:t>
      </w:r>
    </w:p>
    <w:p w14:paraId="021827ED" w14:textId="77777777" w:rsidR="00601EC9" w:rsidRDefault="00601EC9" w:rsidP="00601EC9">
      <w:pPr>
        <w:pStyle w:val="RelatedWork"/>
      </w:pPr>
      <w:r>
        <w:t>Curtis Kostrosky, Symantec Corp.</w:t>
      </w:r>
    </w:p>
    <w:p w14:paraId="73C05C47" w14:textId="77777777" w:rsidR="00601EC9" w:rsidRDefault="00601EC9" w:rsidP="00601EC9">
      <w:pPr>
        <w:pStyle w:val="RelatedWork"/>
      </w:pPr>
      <w:r>
        <w:t>Greg Reaume, TELUS</w:t>
      </w:r>
    </w:p>
    <w:p w14:paraId="35A0FDF1" w14:textId="77777777" w:rsidR="00601EC9" w:rsidRDefault="00601EC9" w:rsidP="00601EC9">
      <w:pPr>
        <w:pStyle w:val="RelatedWork"/>
      </w:pPr>
      <w:r>
        <w:t>Alan Steer, TELUS</w:t>
      </w:r>
    </w:p>
    <w:p w14:paraId="7C3AD18D" w14:textId="77777777" w:rsidR="00601EC9" w:rsidRDefault="00601EC9" w:rsidP="00601EC9">
      <w:pPr>
        <w:pStyle w:val="RelatedWork"/>
      </w:pPr>
      <w:r>
        <w:t>Crystal Hayes, The Boeing Company</w:t>
      </w:r>
    </w:p>
    <w:p w14:paraId="7786079A" w14:textId="77777777" w:rsidR="00601EC9" w:rsidRDefault="00601EC9" w:rsidP="00601EC9">
      <w:pPr>
        <w:pStyle w:val="RelatedWork"/>
      </w:pPr>
      <w:r>
        <w:t>Tyron Miller, Threat Intelligence Pty Ltd</w:t>
      </w:r>
    </w:p>
    <w:p w14:paraId="6BDEA909" w14:textId="77777777" w:rsidR="00601EC9" w:rsidRDefault="00601EC9" w:rsidP="00601EC9">
      <w:pPr>
        <w:pStyle w:val="RelatedWork"/>
      </w:pPr>
      <w:r>
        <w:t>Andrew van der Stock, Threat Intelligence Pty Ltd</w:t>
      </w:r>
    </w:p>
    <w:p w14:paraId="5807B57B" w14:textId="77777777" w:rsidR="00601EC9" w:rsidRDefault="00601EC9" w:rsidP="00601EC9">
      <w:pPr>
        <w:pStyle w:val="RelatedWork"/>
      </w:pPr>
      <w:r>
        <w:t>Andrew Pendergast, ThreatConnect, Inc.</w:t>
      </w:r>
    </w:p>
    <w:p w14:paraId="3ACA0939" w14:textId="77777777" w:rsidR="00601EC9" w:rsidRDefault="00601EC9" w:rsidP="00601EC9">
      <w:pPr>
        <w:pStyle w:val="RelatedWork"/>
      </w:pPr>
      <w:r>
        <w:t>Jason Spies, ThreatConnect, Inc.</w:t>
      </w:r>
    </w:p>
    <w:p w14:paraId="73D0ABDE" w14:textId="77777777" w:rsidR="00601EC9" w:rsidRDefault="00601EC9" w:rsidP="00601EC9">
      <w:pPr>
        <w:pStyle w:val="RelatedWork"/>
      </w:pPr>
      <w:r>
        <w:t>Nick Keuning, ThreatQuotient, Inc.</w:t>
      </w:r>
    </w:p>
    <w:p w14:paraId="275E4D86" w14:textId="77777777" w:rsidR="00601EC9" w:rsidRDefault="00601EC9" w:rsidP="00601EC9">
      <w:pPr>
        <w:pStyle w:val="RelatedWork"/>
      </w:pPr>
      <w:r>
        <w:t>Wei Huang, ThreatStream</w:t>
      </w:r>
    </w:p>
    <w:p w14:paraId="67D0DA7B" w14:textId="77777777" w:rsidR="00601EC9" w:rsidRDefault="00601EC9" w:rsidP="00601EC9">
      <w:pPr>
        <w:pStyle w:val="RelatedWork"/>
      </w:pPr>
      <w:r>
        <w:t>Hugh Njemanze, ThreatStream</w:t>
      </w:r>
    </w:p>
    <w:p w14:paraId="525A817D" w14:textId="77777777" w:rsidR="00601EC9" w:rsidRDefault="00601EC9" w:rsidP="00601EC9">
      <w:pPr>
        <w:pStyle w:val="RelatedWork"/>
      </w:pPr>
      <w:r>
        <w:t>Chris Roblee, TruSTAR Technology</w:t>
      </w:r>
    </w:p>
    <w:p w14:paraId="75268C52" w14:textId="77777777" w:rsidR="00601EC9" w:rsidRDefault="00601EC9" w:rsidP="00601EC9">
      <w:pPr>
        <w:pStyle w:val="RelatedWork"/>
      </w:pPr>
      <w:r>
        <w:t>Mark Angel, U.S. Bank</w:t>
      </w:r>
    </w:p>
    <w:p w14:paraId="62E225EA" w14:textId="77777777" w:rsidR="00601EC9" w:rsidRDefault="00601EC9" w:rsidP="00601EC9">
      <w:pPr>
        <w:pStyle w:val="RelatedWork"/>
      </w:pPr>
      <w:r>
        <w:t>Brad Butts, U.S. Bank</w:t>
      </w:r>
    </w:p>
    <w:p w14:paraId="18D5733A" w14:textId="77777777" w:rsidR="00601EC9" w:rsidRDefault="00601EC9" w:rsidP="00601EC9">
      <w:pPr>
        <w:pStyle w:val="RelatedWork"/>
      </w:pPr>
      <w:r>
        <w:t>Mona Magathan, U.S. Bank</w:t>
      </w:r>
    </w:p>
    <w:p w14:paraId="4FB23D27" w14:textId="77777777" w:rsidR="00601EC9" w:rsidRDefault="00601EC9" w:rsidP="00601EC9">
      <w:pPr>
        <w:pStyle w:val="RelatedWork"/>
      </w:pPr>
      <w:r>
        <w:t>Adam Cooper, United Kingdom Cabinet Office</w:t>
      </w:r>
    </w:p>
    <w:p w14:paraId="03E0ED25" w14:textId="77777777" w:rsidR="00601EC9" w:rsidRDefault="00601EC9" w:rsidP="00601EC9">
      <w:pPr>
        <w:pStyle w:val="RelatedWork"/>
      </w:pPr>
      <w:r>
        <w:t>Mike McLellan, United Kingdom Cabinet Office</w:t>
      </w:r>
    </w:p>
    <w:p w14:paraId="66F64E19" w14:textId="77777777" w:rsidR="00601EC9" w:rsidRDefault="00601EC9" w:rsidP="00601EC9">
      <w:pPr>
        <w:pStyle w:val="RelatedWork"/>
      </w:pPr>
      <w:r>
        <w:t>Chris O'Brien, United Kingdom Cabinet Office</w:t>
      </w:r>
    </w:p>
    <w:p w14:paraId="121F14FD" w14:textId="77777777" w:rsidR="00601EC9" w:rsidRDefault="00601EC9" w:rsidP="00601EC9">
      <w:pPr>
        <w:pStyle w:val="RelatedWork"/>
      </w:pPr>
      <w:r>
        <w:t>James Penman, United Kingdom Cabinet Office</w:t>
      </w:r>
    </w:p>
    <w:p w14:paraId="4D74E3B5" w14:textId="77777777" w:rsidR="00601EC9" w:rsidRDefault="00601EC9" w:rsidP="00601EC9">
      <w:pPr>
        <w:pStyle w:val="RelatedWork"/>
      </w:pPr>
      <w:r>
        <w:t>Howard Staple, United Kingdom Cabinet Office</w:t>
      </w:r>
    </w:p>
    <w:p w14:paraId="185080A1" w14:textId="77777777" w:rsidR="00601EC9" w:rsidRDefault="00601EC9" w:rsidP="00601EC9">
      <w:pPr>
        <w:pStyle w:val="RelatedWork"/>
      </w:pPr>
      <w:r>
        <w:t>Alastair Treharne, United Kingdom Cabinet Office</w:t>
      </w:r>
    </w:p>
    <w:p w14:paraId="63636D37" w14:textId="77777777" w:rsidR="00601EC9" w:rsidRDefault="00601EC9" w:rsidP="00601EC9">
      <w:pPr>
        <w:pStyle w:val="RelatedWork"/>
      </w:pPr>
      <w:r>
        <w:t>Julian White, United Kingdom Cabinet Office</w:t>
      </w:r>
    </w:p>
    <w:p w14:paraId="00C16BE9" w14:textId="77777777" w:rsidR="00601EC9" w:rsidRDefault="00601EC9" w:rsidP="00601EC9">
      <w:pPr>
        <w:pStyle w:val="RelatedWork"/>
      </w:pPr>
      <w:r>
        <w:lastRenderedPageBreak/>
        <w:t>Evette Maynard-Noel, US Department of Homeland Security</w:t>
      </w:r>
    </w:p>
    <w:p w14:paraId="17557F72" w14:textId="77777777" w:rsidR="00601EC9" w:rsidRDefault="00601EC9" w:rsidP="00601EC9">
      <w:pPr>
        <w:pStyle w:val="RelatedWork"/>
      </w:pPr>
      <w:r>
        <w:t>Justin Stekervetz, US Department of Homeland Security</w:t>
      </w:r>
    </w:p>
    <w:p w14:paraId="4606FBED" w14:textId="77777777" w:rsidR="00601EC9" w:rsidRDefault="00601EC9" w:rsidP="00601EC9">
      <w:pPr>
        <w:pStyle w:val="RelatedWork"/>
      </w:pPr>
      <w:r>
        <w:t>Robert Coderre, VeriSign</w:t>
      </w:r>
    </w:p>
    <w:p w14:paraId="14FB8B54" w14:textId="77777777" w:rsidR="00601EC9" w:rsidRDefault="00601EC9" w:rsidP="00601EC9">
      <w:pPr>
        <w:pStyle w:val="RelatedWork"/>
      </w:pPr>
      <w:r>
        <w:t>Kyle Maxwell, VeriSign</w:t>
      </w:r>
    </w:p>
    <w:p w14:paraId="111CD79B" w14:textId="77777777" w:rsidR="00601EC9" w:rsidRDefault="00601EC9" w:rsidP="00601EC9">
      <w:pPr>
        <w:pStyle w:val="RelatedWork"/>
      </w:pPr>
      <w:r>
        <w:t>Lee Chieffalo, ViaSat, Inc.</w:t>
      </w:r>
    </w:p>
    <w:p w14:paraId="1A8810BB" w14:textId="77777777" w:rsidR="00601EC9" w:rsidRDefault="00601EC9" w:rsidP="00601EC9">
      <w:pPr>
        <w:pStyle w:val="RelatedWork"/>
      </w:pPr>
      <w:r>
        <w:t>Wilson Figueroa, ViaSat, Inc.</w:t>
      </w:r>
    </w:p>
    <w:p w14:paraId="192866C8" w14:textId="77777777" w:rsidR="00601EC9" w:rsidRDefault="00601EC9" w:rsidP="00601EC9">
      <w:pPr>
        <w:pStyle w:val="RelatedWork"/>
      </w:pPr>
      <w:r>
        <w:t>Anthony Rutkowski, Yaana Technologies, LLC</w:t>
      </w:r>
    </w:p>
    <w:p w14:paraId="3DFBD10F" w14:textId="77777777" w:rsidR="00601EC9" w:rsidRDefault="00601EC9" w:rsidP="00601EC9"/>
    <w:p w14:paraId="00901474" w14:textId="77777777" w:rsidR="00601EC9" w:rsidRDefault="00601EC9" w:rsidP="00601EC9">
      <w:pPr>
        <w:pStyle w:val="Titlepageinfo"/>
      </w:pPr>
      <w:r>
        <w:t>Special Thanks:</w:t>
      </w:r>
      <w:r>
        <w:fldChar w:fldCharType="begin"/>
      </w:r>
      <w:r>
        <w:instrText xml:space="preserve"> MACROBUTTON  </w:instrText>
      </w:r>
      <w:r>
        <w:fldChar w:fldCharType="end"/>
      </w:r>
    </w:p>
    <w:p w14:paraId="743C6CDE" w14:textId="585F47FA" w:rsidR="00601EC9" w:rsidRPr="005067A8" w:rsidRDefault="00601EC9" w:rsidP="00601EC9">
      <w:r w:rsidRPr="00744FB0">
        <w:t>A special thanks to the US Department of Homeland Security’s (DHS) National Cybersecurity and Communications Integration Center (NCCIC), and to Richard Struse, Chief Advanced Technology Officer of the DHS NCCIC. Without your sponsorship, vision, and relentless vigor, none of this would have been possible.</w:t>
      </w:r>
      <w:bookmarkStart w:id="40" w:name="_GoBack"/>
      <w:bookmarkEnd w:id="40"/>
    </w:p>
    <w:p w14:paraId="4D297400" w14:textId="77777777" w:rsidR="00601EC9" w:rsidRDefault="00601EC9" w:rsidP="00601EC9">
      <w:pPr>
        <w:pStyle w:val="AppendixHeading1"/>
        <w:numPr>
          <w:ilvl w:val="0"/>
          <w:numId w:val="37"/>
        </w:numPr>
      </w:pPr>
      <w:bookmarkStart w:id="41" w:name="_Toc85472898"/>
      <w:bookmarkStart w:id="42" w:name="_Toc287332014"/>
      <w:bookmarkStart w:id="43" w:name="_Toc431898810"/>
      <w:bookmarkStart w:id="44" w:name="_Toc450734067"/>
      <w:r>
        <w:lastRenderedPageBreak/>
        <w:t>Revision History</w:t>
      </w:r>
      <w:bookmarkEnd w:id="41"/>
      <w:bookmarkEnd w:id="42"/>
      <w:bookmarkEnd w:id="43"/>
      <w:bookmarkEnd w:id="4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2160"/>
        <w:gridCol w:w="4140"/>
      </w:tblGrid>
      <w:tr w:rsidR="00601EC9" w14:paraId="3862F035" w14:textId="77777777" w:rsidTr="008D1F91">
        <w:tc>
          <w:tcPr>
            <w:tcW w:w="1728" w:type="dxa"/>
          </w:tcPr>
          <w:p w14:paraId="4A540315" w14:textId="77777777" w:rsidR="00601EC9" w:rsidRPr="00C7321D" w:rsidRDefault="00601EC9" w:rsidP="008D1F91">
            <w:pPr>
              <w:jc w:val="center"/>
              <w:rPr>
                <w:b/>
              </w:rPr>
            </w:pPr>
            <w:r w:rsidRPr="00C7321D">
              <w:rPr>
                <w:b/>
              </w:rPr>
              <w:t>Revision</w:t>
            </w:r>
          </w:p>
        </w:tc>
        <w:tc>
          <w:tcPr>
            <w:tcW w:w="1440" w:type="dxa"/>
          </w:tcPr>
          <w:p w14:paraId="140729BA" w14:textId="77777777" w:rsidR="00601EC9" w:rsidRPr="00C7321D" w:rsidRDefault="00601EC9" w:rsidP="008D1F91">
            <w:pPr>
              <w:jc w:val="center"/>
              <w:rPr>
                <w:b/>
              </w:rPr>
            </w:pPr>
            <w:r w:rsidRPr="00C7321D">
              <w:rPr>
                <w:b/>
              </w:rPr>
              <w:t>Date</w:t>
            </w:r>
          </w:p>
        </w:tc>
        <w:tc>
          <w:tcPr>
            <w:tcW w:w="2160" w:type="dxa"/>
          </w:tcPr>
          <w:p w14:paraId="71D88A07" w14:textId="77777777" w:rsidR="00601EC9" w:rsidRPr="00C7321D" w:rsidRDefault="00601EC9" w:rsidP="008D1F91">
            <w:pPr>
              <w:jc w:val="center"/>
              <w:rPr>
                <w:b/>
              </w:rPr>
            </w:pPr>
            <w:r w:rsidRPr="00C7321D">
              <w:rPr>
                <w:b/>
              </w:rPr>
              <w:t>Editor</w:t>
            </w:r>
          </w:p>
        </w:tc>
        <w:tc>
          <w:tcPr>
            <w:tcW w:w="4140" w:type="dxa"/>
          </w:tcPr>
          <w:p w14:paraId="1B3416FF" w14:textId="77777777" w:rsidR="00601EC9" w:rsidRPr="00C7321D" w:rsidRDefault="00601EC9" w:rsidP="008D1F91">
            <w:pPr>
              <w:rPr>
                <w:b/>
              </w:rPr>
            </w:pPr>
            <w:r w:rsidRPr="00C7321D">
              <w:rPr>
                <w:b/>
              </w:rPr>
              <w:t>Changes Made</w:t>
            </w:r>
          </w:p>
        </w:tc>
      </w:tr>
      <w:tr w:rsidR="00601EC9" w14:paraId="5F3C5DBF" w14:textId="77777777" w:rsidTr="008D1F91">
        <w:tc>
          <w:tcPr>
            <w:tcW w:w="1728" w:type="dxa"/>
          </w:tcPr>
          <w:p w14:paraId="46A5E43D" w14:textId="77777777" w:rsidR="00601EC9" w:rsidRDefault="00601EC9" w:rsidP="008D1F91">
            <w:r>
              <w:t>Working Draft 01</w:t>
            </w:r>
          </w:p>
        </w:tc>
        <w:tc>
          <w:tcPr>
            <w:tcW w:w="1440" w:type="dxa"/>
          </w:tcPr>
          <w:p w14:paraId="6531E0D5" w14:textId="77777777" w:rsidR="00601EC9" w:rsidRDefault="00601EC9" w:rsidP="008D1F91">
            <w:r>
              <w:t>01 July 2015</w:t>
            </w:r>
          </w:p>
        </w:tc>
        <w:tc>
          <w:tcPr>
            <w:tcW w:w="2160" w:type="dxa"/>
          </w:tcPr>
          <w:p w14:paraId="458B4211" w14:textId="77777777" w:rsidR="00601EC9" w:rsidRDefault="00601EC9" w:rsidP="008D1F91">
            <w:r>
              <w:t>Bret Jordan</w:t>
            </w:r>
          </w:p>
        </w:tc>
        <w:tc>
          <w:tcPr>
            <w:tcW w:w="4140" w:type="dxa"/>
          </w:tcPr>
          <w:p w14:paraId="0A72553B" w14:textId="77777777" w:rsidR="00601EC9" w:rsidRDefault="00601EC9" w:rsidP="008D1F91">
            <w:r>
              <w:t>Initial working draft based on MITRE specification</w:t>
            </w:r>
          </w:p>
        </w:tc>
      </w:tr>
    </w:tbl>
    <w:p w14:paraId="5DCB1E7A" w14:textId="77777777" w:rsidR="00601EC9" w:rsidRPr="003129C6" w:rsidRDefault="00601EC9" w:rsidP="00601EC9"/>
    <w:sectPr w:rsidR="00601EC9" w:rsidRPr="003129C6"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7F98" w14:textId="77777777" w:rsidR="00D42177" w:rsidRDefault="00D42177" w:rsidP="008C100C">
      <w:r>
        <w:separator/>
      </w:r>
    </w:p>
    <w:p w14:paraId="2978D598" w14:textId="77777777" w:rsidR="00D42177" w:rsidRDefault="00D42177" w:rsidP="008C100C"/>
    <w:p w14:paraId="1BA6E6F0" w14:textId="77777777" w:rsidR="00D42177" w:rsidRDefault="00D42177" w:rsidP="008C100C"/>
    <w:p w14:paraId="6CF639EF" w14:textId="77777777" w:rsidR="00D42177" w:rsidRDefault="00D42177" w:rsidP="008C100C"/>
    <w:p w14:paraId="3D19813B" w14:textId="77777777" w:rsidR="00D42177" w:rsidRDefault="00D42177" w:rsidP="008C100C"/>
    <w:p w14:paraId="167F9492" w14:textId="77777777" w:rsidR="00D42177" w:rsidRDefault="00D42177" w:rsidP="008C100C"/>
    <w:p w14:paraId="37735A3D" w14:textId="77777777" w:rsidR="00D42177" w:rsidRDefault="00D42177" w:rsidP="008C100C"/>
  </w:endnote>
  <w:endnote w:type="continuationSeparator" w:id="0">
    <w:p w14:paraId="0E8E0401" w14:textId="77777777" w:rsidR="00D42177" w:rsidRDefault="00D42177" w:rsidP="008C100C">
      <w:r>
        <w:continuationSeparator/>
      </w:r>
    </w:p>
    <w:p w14:paraId="793C4AD7" w14:textId="77777777" w:rsidR="00D42177" w:rsidRDefault="00D42177" w:rsidP="008C100C"/>
    <w:p w14:paraId="191007F4" w14:textId="77777777" w:rsidR="00D42177" w:rsidRDefault="00D42177" w:rsidP="008C100C"/>
    <w:p w14:paraId="170DDA35" w14:textId="77777777" w:rsidR="00D42177" w:rsidRDefault="00D42177" w:rsidP="008C100C"/>
    <w:p w14:paraId="0978F06F" w14:textId="77777777" w:rsidR="00D42177" w:rsidRDefault="00D42177" w:rsidP="008C100C"/>
    <w:p w14:paraId="7FAC893E" w14:textId="77777777" w:rsidR="00D42177" w:rsidRDefault="00D42177" w:rsidP="008C100C"/>
    <w:p w14:paraId="191A1533" w14:textId="77777777" w:rsidR="00D42177" w:rsidRDefault="00D42177"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F8C1E" w14:textId="463F5D55" w:rsidR="00BA1811" w:rsidRDefault="00AD6EF9" w:rsidP="00560795">
    <w:pPr>
      <w:pStyle w:val="Footer"/>
      <w:tabs>
        <w:tab w:val="clear" w:pos="4320"/>
        <w:tab w:val="clear" w:pos="8640"/>
        <w:tab w:val="center" w:pos="4680"/>
        <w:tab w:val="right" w:pos="9360"/>
      </w:tabs>
      <w:spacing w:after="0"/>
      <w:rPr>
        <w:sz w:val="16"/>
        <w:szCs w:val="16"/>
      </w:rPr>
    </w:pPr>
    <w:r>
      <w:rPr>
        <w:sz w:val="16"/>
        <w:szCs w:val="16"/>
      </w:rPr>
      <w:t>taxii-v1.1.1-</w:t>
    </w:r>
    <w:r w:rsidR="007D4DEA">
      <w:rPr>
        <w:sz w:val="16"/>
        <w:szCs w:val="16"/>
      </w:rPr>
      <w:t>cs</w:t>
    </w:r>
    <w:r w:rsidR="00415C93">
      <w:rPr>
        <w:sz w:val="16"/>
        <w:szCs w:val="16"/>
      </w:rPr>
      <w:t>01</w:t>
    </w:r>
    <w:r>
      <w:rPr>
        <w:sz w:val="16"/>
        <w:szCs w:val="16"/>
      </w:rPr>
      <w:t>-part1-overview</w:t>
    </w:r>
    <w:r w:rsidR="00BA1811">
      <w:rPr>
        <w:sz w:val="16"/>
        <w:szCs w:val="16"/>
      </w:rPr>
      <w:tab/>
    </w:r>
    <w:r w:rsidR="00BA1811">
      <w:rPr>
        <w:sz w:val="16"/>
        <w:szCs w:val="16"/>
      </w:rPr>
      <w:tab/>
    </w:r>
    <w:r w:rsidR="00BC4564">
      <w:rPr>
        <w:sz w:val="16"/>
        <w:szCs w:val="16"/>
      </w:rPr>
      <w:t>0</w:t>
    </w:r>
    <w:r w:rsidR="007D4DEA">
      <w:rPr>
        <w:sz w:val="16"/>
        <w:szCs w:val="16"/>
      </w:rPr>
      <w:t>5 May 2016</w:t>
    </w:r>
  </w:p>
  <w:p w14:paraId="77BF217A" w14:textId="0D31FA7A" w:rsidR="00BA1811" w:rsidRPr="00F50E2C" w:rsidRDefault="00BA1811"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sidR="003434B4">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C56579">
      <w:rPr>
        <w:rStyle w:val="PageNumber"/>
        <w:noProof/>
        <w:sz w:val="16"/>
        <w:szCs w:val="16"/>
      </w:rPr>
      <w:t>17</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C56579">
      <w:rPr>
        <w:rStyle w:val="PageNumber"/>
        <w:noProof/>
        <w:sz w:val="16"/>
        <w:szCs w:val="16"/>
      </w:rPr>
      <w:t>17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3071" w14:textId="77777777" w:rsidR="00BA1811" w:rsidRPr="007611CD" w:rsidRDefault="00BA1811"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124A4721" w14:textId="77777777" w:rsidR="00BA1811" w:rsidRPr="007611CD" w:rsidRDefault="00BA1811"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4D5914">
      <w:rPr>
        <w:rStyle w:val="PageNumber"/>
        <w:noProof/>
        <w:sz w:val="16"/>
        <w:szCs w:val="16"/>
      </w:rPr>
      <w:t>17</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13AB5" w14:textId="77777777" w:rsidR="00D42177" w:rsidRDefault="00D42177" w:rsidP="008C100C">
      <w:r>
        <w:separator/>
      </w:r>
    </w:p>
    <w:p w14:paraId="4AE5F1E4" w14:textId="77777777" w:rsidR="00D42177" w:rsidRDefault="00D42177" w:rsidP="008C100C"/>
  </w:footnote>
  <w:footnote w:type="continuationSeparator" w:id="0">
    <w:p w14:paraId="5912FEB8" w14:textId="77777777" w:rsidR="00D42177" w:rsidRDefault="00D42177" w:rsidP="008C100C">
      <w:r>
        <w:continuationSeparator/>
      </w:r>
    </w:p>
    <w:p w14:paraId="48C2C02B" w14:textId="77777777" w:rsidR="00D42177" w:rsidRDefault="00D42177"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2105" w14:textId="77777777" w:rsidR="00BA1811" w:rsidRDefault="00BA1811" w:rsidP="008C100C"/>
  <w:p w14:paraId="5700705E" w14:textId="77777777" w:rsidR="00BA1811" w:rsidRDefault="00BA1811"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DAB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2026ED8"/>
    <w:lvl w:ilvl="0">
      <w:start w:val="1"/>
      <w:numFmt w:val="decimal"/>
      <w:lvlText w:val="%1."/>
      <w:lvlJc w:val="left"/>
      <w:pPr>
        <w:tabs>
          <w:tab w:val="num" w:pos="1800"/>
        </w:tabs>
        <w:ind w:left="1800" w:hanging="360"/>
      </w:pPr>
    </w:lvl>
  </w:abstractNum>
  <w:abstractNum w:abstractNumId="2">
    <w:nsid w:val="FFFFFF7D"/>
    <w:multiLevelType w:val="singleLevel"/>
    <w:tmpl w:val="576C4E56"/>
    <w:lvl w:ilvl="0">
      <w:start w:val="1"/>
      <w:numFmt w:val="decimal"/>
      <w:lvlText w:val="%1."/>
      <w:lvlJc w:val="left"/>
      <w:pPr>
        <w:tabs>
          <w:tab w:val="num" w:pos="1440"/>
        </w:tabs>
        <w:ind w:left="1440" w:hanging="360"/>
      </w:pPr>
    </w:lvl>
  </w:abstractNum>
  <w:abstractNum w:abstractNumId="3">
    <w:nsid w:val="FFFFFF7E"/>
    <w:multiLevelType w:val="singleLevel"/>
    <w:tmpl w:val="BB843B40"/>
    <w:lvl w:ilvl="0">
      <w:start w:val="1"/>
      <w:numFmt w:val="decimal"/>
      <w:lvlText w:val="%1."/>
      <w:lvlJc w:val="left"/>
      <w:pPr>
        <w:tabs>
          <w:tab w:val="num" w:pos="1080"/>
        </w:tabs>
        <w:ind w:left="1080" w:hanging="360"/>
      </w:pPr>
    </w:lvl>
  </w:abstractNum>
  <w:abstractNum w:abstractNumId="4">
    <w:nsid w:val="FFFFFF7F"/>
    <w:multiLevelType w:val="singleLevel"/>
    <w:tmpl w:val="34AAB680"/>
    <w:lvl w:ilvl="0">
      <w:start w:val="1"/>
      <w:numFmt w:val="decimal"/>
      <w:lvlText w:val="%1."/>
      <w:lvlJc w:val="left"/>
      <w:pPr>
        <w:tabs>
          <w:tab w:val="num" w:pos="720"/>
        </w:tabs>
        <w:ind w:left="720" w:hanging="360"/>
      </w:pPr>
    </w:lvl>
  </w:abstractNum>
  <w:abstractNum w:abstractNumId="5">
    <w:nsid w:val="FFFFFF80"/>
    <w:multiLevelType w:val="singleLevel"/>
    <w:tmpl w:val="DE4EE48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AC418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2902D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9">
    <w:nsid w:val="FFFFFF88"/>
    <w:multiLevelType w:val="singleLevel"/>
    <w:tmpl w:val="3C782AE6"/>
    <w:lvl w:ilvl="0">
      <w:start w:val="1"/>
      <w:numFmt w:val="decimal"/>
      <w:lvlText w:val="%1."/>
      <w:lvlJc w:val="left"/>
      <w:pPr>
        <w:tabs>
          <w:tab w:val="num" w:pos="360"/>
        </w:tabs>
        <w:ind w:left="360" w:hanging="360"/>
      </w:pPr>
    </w:lvl>
  </w:abstractNum>
  <w:abstractNum w:abstractNumId="1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117C64"/>
    <w:multiLevelType w:val="hybridMultilevel"/>
    <w:tmpl w:val="AF527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042120"/>
    <w:multiLevelType w:val="hybridMultilevel"/>
    <w:tmpl w:val="EC22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A3105C0"/>
    <w:multiLevelType w:val="hybridMultilevel"/>
    <w:tmpl w:val="AAAE6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C5AB0"/>
    <w:multiLevelType w:val="hybridMultilevel"/>
    <w:tmpl w:val="A71E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613AA"/>
    <w:multiLevelType w:val="hybridMultilevel"/>
    <w:tmpl w:val="2C12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2DC2BBD"/>
    <w:multiLevelType w:val="hybridMultilevel"/>
    <w:tmpl w:val="43B6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1A28DE"/>
    <w:multiLevelType w:val="hybridMultilevel"/>
    <w:tmpl w:val="2BB2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13"/>
  </w:num>
  <w:num w:numId="6">
    <w:abstractNumId w:val="15"/>
  </w:num>
  <w:num w:numId="7">
    <w:abstractNumId w:val="28"/>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27"/>
  </w:num>
  <w:num w:numId="32">
    <w:abstractNumId w:val="24"/>
  </w:num>
  <w:num w:numId="33">
    <w:abstractNumId w:val="25"/>
  </w:num>
  <w:num w:numId="34">
    <w:abstractNumId w:val="22"/>
  </w:num>
  <w:num w:numId="35">
    <w:abstractNumId w:val="20"/>
  </w:num>
  <w:num w:numId="36">
    <w:abstractNumId w:val="21"/>
  </w:num>
  <w:num w:numId="37">
    <w:abstractNumId w:val="18"/>
  </w:num>
  <w:num w:numId="38">
    <w:abstractNumId w:val="18"/>
  </w:num>
  <w:num w:numId="39">
    <w:abstractNumId w:val="11"/>
  </w:num>
  <w:num w:numId="40">
    <w:abstractNumId w:val="14"/>
  </w:num>
  <w:num w:numId="41">
    <w:abstractNumId w:val="12"/>
  </w:num>
  <w:num w:numId="42">
    <w:abstractNumId w:val="19"/>
  </w:num>
  <w:num w:numId="43">
    <w:abstractNumId w:val="17"/>
  </w:num>
  <w:num w:numId="44">
    <w:abstractNumId w:val="29"/>
  </w:num>
  <w:num w:numId="45">
    <w:abstractNumId w:val="1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3925"/>
    <w:rsid w:val="000449B0"/>
    <w:rsid w:val="00060BBB"/>
    <w:rsid w:val="0006408F"/>
    <w:rsid w:val="0007308D"/>
    <w:rsid w:val="00076EFC"/>
    <w:rsid w:val="00081671"/>
    <w:rsid w:val="00082C02"/>
    <w:rsid w:val="00085F7C"/>
    <w:rsid w:val="00096E2D"/>
    <w:rsid w:val="000A02CD"/>
    <w:rsid w:val="000A6E00"/>
    <w:rsid w:val="000C11FC"/>
    <w:rsid w:val="000D208F"/>
    <w:rsid w:val="000E28CA"/>
    <w:rsid w:val="000E5705"/>
    <w:rsid w:val="00101D6D"/>
    <w:rsid w:val="00123F2F"/>
    <w:rsid w:val="00143002"/>
    <w:rsid w:val="00147F63"/>
    <w:rsid w:val="00177DED"/>
    <w:rsid w:val="001832F8"/>
    <w:rsid w:val="001A5119"/>
    <w:rsid w:val="001C1D5A"/>
    <w:rsid w:val="001C782B"/>
    <w:rsid w:val="001D1D6C"/>
    <w:rsid w:val="001E2285"/>
    <w:rsid w:val="001E34B8"/>
    <w:rsid w:val="001E46CF"/>
    <w:rsid w:val="001E4B99"/>
    <w:rsid w:val="001F05E0"/>
    <w:rsid w:val="001F1A25"/>
    <w:rsid w:val="001F51AB"/>
    <w:rsid w:val="00202E19"/>
    <w:rsid w:val="002153A1"/>
    <w:rsid w:val="002213EF"/>
    <w:rsid w:val="00223C24"/>
    <w:rsid w:val="00231710"/>
    <w:rsid w:val="00232273"/>
    <w:rsid w:val="00255718"/>
    <w:rsid w:val="002659E9"/>
    <w:rsid w:val="002666EE"/>
    <w:rsid w:val="002714A2"/>
    <w:rsid w:val="00277205"/>
    <w:rsid w:val="00286EC7"/>
    <w:rsid w:val="002877D2"/>
    <w:rsid w:val="002A2B33"/>
    <w:rsid w:val="002A6E0B"/>
    <w:rsid w:val="002B197B"/>
    <w:rsid w:val="002B261C"/>
    <w:rsid w:val="002B267E"/>
    <w:rsid w:val="002B6659"/>
    <w:rsid w:val="002B7E99"/>
    <w:rsid w:val="002C0868"/>
    <w:rsid w:val="002F10B8"/>
    <w:rsid w:val="003006BE"/>
    <w:rsid w:val="0030202A"/>
    <w:rsid w:val="00303110"/>
    <w:rsid w:val="003129C6"/>
    <w:rsid w:val="00313090"/>
    <w:rsid w:val="00316300"/>
    <w:rsid w:val="0031788B"/>
    <w:rsid w:val="00324582"/>
    <w:rsid w:val="00342831"/>
    <w:rsid w:val="00343109"/>
    <w:rsid w:val="003434B4"/>
    <w:rsid w:val="00362160"/>
    <w:rsid w:val="00366C20"/>
    <w:rsid w:val="003707E2"/>
    <w:rsid w:val="00373F41"/>
    <w:rsid w:val="003A0D47"/>
    <w:rsid w:val="003B0E37"/>
    <w:rsid w:val="003B1F5B"/>
    <w:rsid w:val="003C18EF"/>
    <w:rsid w:val="003C20A1"/>
    <w:rsid w:val="003C5569"/>
    <w:rsid w:val="003C61EA"/>
    <w:rsid w:val="003D15AE"/>
    <w:rsid w:val="003D1945"/>
    <w:rsid w:val="003D5C65"/>
    <w:rsid w:val="003E15C9"/>
    <w:rsid w:val="003E3540"/>
    <w:rsid w:val="003E6731"/>
    <w:rsid w:val="00402E3A"/>
    <w:rsid w:val="00412A4B"/>
    <w:rsid w:val="00415C93"/>
    <w:rsid w:val="004226B7"/>
    <w:rsid w:val="0042272F"/>
    <w:rsid w:val="00427622"/>
    <w:rsid w:val="0043023F"/>
    <w:rsid w:val="00430C66"/>
    <w:rsid w:val="00453E33"/>
    <w:rsid w:val="00462FBF"/>
    <w:rsid w:val="004904F9"/>
    <w:rsid w:val="004925B5"/>
    <w:rsid w:val="00494EE0"/>
    <w:rsid w:val="004A4186"/>
    <w:rsid w:val="004A5BBB"/>
    <w:rsid w:val="004B203E"/>
    <w:rsid w:val="004B2AA0"/>
    <w:rsid w:val="004C4D7C"/>
    <w:rsid w:val="004D0E5E"/>
    <w:rsid w:val="004D5914"/>
    <w:rsid w:val="004E374A"/>
    <w:rsid w:val="004F390D"/>
    <w:rsid w:val="004F5BEF"/>
    <w:rsid w:val="0050522B"/>
    <w:rsid w:val="00510D3C"/>
    <w:rsid w:val="005126F2"/>
    <w:rsid w:val="00514964"/>
    <w:rsid w:val="0051640A"/>
    <w:rsid w:val="0052099F"/>
    <w:rsid w:val="00527ED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5F5CA8"/>
    <w:rsid w:val="0060033A"/>
    <w:rsid w:val="00601EC9"/>
    <w:rsid w:val="006047D8"/>
    <w:rsid w:val="006107FC"/>
    <w:rsid w:val="00635370"/>
    <w:rsid w:val="006852B0"/>
    <w:rsid w:val="006A0100"/>
    <w:rsid w:val="006A21F6"/>
    <w:rsid w:val="006A3443"/>
    <w:rsid w:val="006A3601"/>
    <w:rsid w:val="006B2C49"/>
    <w:rsid w:val="006D31DB"/>
    <w:rsid w:val="006F11AC"/>
    <w:rsid w:val="006F2371"/>
    <w:rsid w:val="006F2C2B"/>
    <w:rsid w:val="007001D7"/>
    <w:rsid w:val="00704663"/>
    <w:rsid w:val="0070505C"/>
    <w:rsid w:val="007057F1"/>
    <w:rsid w:val="0071217C"/>
    <w:rsid w:val="007132C1"/>
    <w:rsid w:val="007139E9"/>
    <w:rsid w:val="007165BD"/>
    <w:rsid w:val="007167BB"/>
    <w:rsid w:val="00727F08"/>
    <w:rsid w:val="007402C5"/>
    <w:rsid w:val="0074463C"/>
    <w:rsid w:val="00745446"/>
    <w:rsid w:val="00746D5A"/>
    <w:rsid w:val="00754545"/>
    <w:rsid w:val="00756A49"/>
    <w:rsid w:val="007611CD"/>
    <w:rsid w:val="00763A94"/>
    <w:rsid w:val="00765F2F"/>
    <w:rsid w:val="0077006B"/>
    <w:rsid w:val="0077347A"/>
    <w:rsid w:val="007816D7"/>
    <w:rsid w:val="007824D4"/>
    <w:rsid w:val="007902D4"/>
    <w:rsid w:val="00790B4C"/>
    <w:rsid w:val="00794B69"/>
    <w:rsid w:val="007A1064"/>
    <w:rsid w:val="007A5948"/>
    <w:rsid w:val="007A63CE"/>
    <w:rsid w:val="007C625D"/>
    <w:rsid w:val="007D4DEA"/>
    <w:rsid w:val="007D5D9B"/>
    <w:rsid w:val="007E3373"/>
    <w:rsid w:val="008012F5"/>
    <w:rsid w:val="008020C7"/>
    <w:rsid w:val="00806704"/>
    <w:rsid w:val="00807636"/>
    <w:rsid w:val="008211F1"/>
    <w:rsid w:val="00831022"/>
    <w:rsid w:val="008367EF"/>
    <w:rsid w:val="00842B2B"/>
    <w:rsid w:val="00851329"/>
    <w:rsid w:val="00852E10"/>
    <w:rsid w:val="008544DD"/>
    <w:rsid w:val="008546B3"/>
    <w:rsid w:val="00860008"/>
    <w:rsid w:val="008677C6"/>
    <w:rsid w:val="00875F61"/>
    <w:rsid w:val="00876B32"/>
    <w:rsid w:val="00882053"/>
    <w:rsid w:val="00882FC4"/>
    <w:rsid w:val="0088339A"/>
    <w:rsid w:val="008835BB"/>
    <w:rsid w:val="00885739"/>
    <w:rsid w:val="00885BC6"/>
    <w:rsid w:val="00890065"/>
    <w:rsid w:val="008A31C5"/>
    <w:rsid w:val="008A68CC"/>
    <w:rsid w:val="008B35FC"/>
    <w:rsid w:val="008C100C"/>
    <w:rsid w:val="008C7396"/>
    <w:rsid w:val="008D23C9"/>
    <w:rsid w:val="008D464F"/>
    <w:rsid w:val="008D603F"/>
    <w:rsid w:val="008F4458"/>
    <w:rsid w:val="0091262F"/>
    <w:rsid w:val="00930197"/>
    <w:rsid w:val="00930A73"/>
    <w:rsid w:val="00930E31"/>
    <w:rsid w:val="00950197"/>
    <w:rsid w:val="00951C02"/>
    <w:rsid w:val="009523EF"/>
    <w:rsid w:val="00960A34"/>
    <w:rsid w:val="00961771"/>
    <w:rsid w:val="00962F1F"/>
    <w:rsid w:val="00975C4D"/>
    <w:rsid w:val="00976A30"/>
    <w:rsid w:val="00980139"/>
    <w:rsid w:val="00982437"/>
    <w:rsid w:val="0099403E"/>
    <w:rsid w:val="00995224"/>
    <w:rsid w:val="00995E1B"/>
    <w:rsid w:val="009A2E52"/>
    <w:rsid w:val="009A44D0"/>
    <w:rsid w:val="009B28A5"/>
    <w:rsid w:val="009C3825"/>
    <w:rsid w:val="009C4CD6"/>
    <w:rsid w:val="009C7DCE"/>
    <w:rsid w:val="009D1CDA"/>
    <w:rsid w:val="009F04EF"/>
    <w:rsid w:val="00A05FDF"/>
    <w:rsid w:val="00A31FB9"/>
    <w:rsid w:val="00A34900"/>
    <w:rsid w:val="00A372C7"/>
    <w:rsid w:val="00A44E81"/>
    <w:rsid w:val="00A452A1"/>
    <w:rsid w:val="00A471E7"/>
    <w:rsid w:val="00A50716"/>
    <w:rsid w:val="00A55556"/>
    <w:rsid w:val="00A710C8"/>
    <w:rsid w:val="00A74011"/>
    <w:rsid w:val="00A83CAA"/>
    <w:rsid w:val="00A9135E"/>
    <w:rsid w:val="00A9241B"/>
    <w:rsid w:val="00A93A73"/>
    <w:rsid w:val="00A9675F"/>
    <w:rsid w:val="00AA074F"/>
    <w:rsid w:val="00AA0D5A"/>
    <w:rsid w:val="00AA2F0A"/>
    <w:rsid w:val="00AC0AAD"/>
    <w:rsid w:val="00AC5012"/>
    <w:rsid w:val="00AD0665"/>
    <w:rsid w:val="00AD0F45"/>
    <w:rsid w:val="00AD4630"/>
    <w:rsid w:val="00AD6EF9"/>
    <w:rsid w:val="00AE0702"/>
    <w:rsid w:val="00AF5EEC"/>
    <w:rsid w:val="00B03FBA"/>
    <w:rsid w:val="00B0634A"/>
    <w:rsid w:val="00B07128"/>
    <w:rsid w:val="00B103B8"/>
    <w:rsid w:val="00B12364"/>
    <w:rsid w:val="00B12A5A"/>
    <w:rsid w:val="00B16092"/>
    <w:rsid w:val="00B23535"/>
    <w:rsid w:val="00B2415D"/>
    <w:rsid w:val="00B311CC"/>
    <w:rsid w:val="00B569DB"/>
    <w:rsid w:val="00B573DB"/>
    <w:rsid w:val="00B638C0"/>
    <w:rsid w:val="00B809FD"/>
    <w:rsid w:val="00B80CDB"/>
    <w:rsid w:val="00BA0B6E"/>
    <w:rsid w:val="00BA1811"/>
    <w:rsid w:val="00BA2083"/>
    <w:rsid w:val="00BA248C"/>
    <w:rsid w:val="00BB79DE"/>
    <w:rsid w:val="00BC4564"/>
    <w:rsid w:val="00BC5AF2"/>
    <w:rsid w:val="00BD64F0"/>
    <w:rsid w:val="00BE084D"/>
    <w:rsid w:val="00BE1CE0"/>
    <w:rsid w:val="00BE39B9"/>
    <w:rsid w:val="00BF1E87"/>
    <w:rsid w:val="00C02DEC"/>
    <w:rsid w:val="00C04BCD"/>
    <w:rsid w:val="00C217E0"/>
    <w:rsid w:val="00C2337F"/>
    <w:rsid w:val="00C23558"/>
    <w:rsid w:val="00C24466"/>
    <w:rsid w:val="00C304DB"/>
    <w:rsid w:val="00C32606"/>
    <w:rsid w:val="00C44407"/>
    <w:rsid w:val="00C451D7"/>
    <w:rsid w:val="00C46736"/>
    <w:rsid w:val="00C52EFC"/>
    <w:rsid w:val="00C5515D"/>
    <w:rsid w:val="00C56579"/>
    <w:rsid w:val="00C62BCA"/>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0942"/>
    <w:rsid w:val="00CD33CA"/>
    <w:rsid w:val="00CD6223"/>
    <w:rsid w:val="00CE2CD5"/>
    <w:rsid w:val="00CE48E3"/>
    <w:rsid w:val="00CE59AF"/>
    <w:rsid w:val="00CE5B93"/>
    <w:rsid w:val="00CE7FA6"/>
    <w:rsid w:val="00CF2B71"/>
    <w:rsid w:val="00CF5335"/>
    <w:rsid w:val="00CF629C"/>
    <w:rsid w:val="00D00DF9"/>
    <w:rsid w:val="00D04A7F"/>
    <w:rsid w:val="00D06C3A"/>
    <w:rsid w:val="00D14266"/>
    <w:rsid w:val="00D27CAB"/>
    <w:rsid w:val="00D303F1"/>
    <w:rsid w:val="00D42177"/>
    <w:rsid w:val="00D43CB9"/>
    <w:rsid w:val="00D5207A"/>
    <w:rsid w:val="00D54431"/>
    <w:rsid w:val="00D54A1C"/>
    <w:rsid w:val="00D56E36"/>
    <w:rsid w:val="00D57EB8"/>
    <w:rsid w:val="00D57FAD"/>
    <w:rsid w:val="00D61DB1"/>
    <w:rsid w:val="00D61FFC"/>
    <w:rsid w:val="00D65C25"/>
    <w:rsid w:val="00D75ED0"/>
    <w:rsid w:val="00D77A61"/>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33C3"/>
    <w:rsid w:val="00E06267"/>
    <w:rsid w:val="00E21636"/>
    <w:rsid w:val="00E230BA"/>
    <w:rsid w:val="00E30DE0"/>
    <w:rsid w:val="00E31A55"/>
    <w:rsid w:val="00E33995"/>
    <w:rsid w:val="00E36FE1"/>
    <w:rsid w:val="00E4299F"/>
    <w:rsid w:val="00E54D16"/>
    <w:rsid w:val="00E5513E"/>
    <w:rsid w:val="00E60396"/>
    <w:rsid w:val="00E62240"/>
    <w:rsid w:val="00E668E4"/>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619DD"/>
    <w:rsid w:val="00F82F44"/>
    <w:rsid w:val="00F9240B"/>
    <w:rsid w:val="00FA361D"/>
    <w:rsid w:val="00FB384A"/>
    <w:rsid w:val="00FB3A75"/>
    <w:rsid w:val="00FC06F0"/>
    <w:rsid w:val="00FC3563"/>
    <w:rsid w:val="00FC500C"/>
    <w:rsid w:val="00FC6559"/>
    <w:rsid w:val="00FE5628"/>
    <w:rsid w:val="00FE5C13"/>
    <w:rsid w:val="00FF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F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uiPriority w:val="9"/>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uiPriority w:val="9"/>
    <w:qFormat/>
    <w:pPr>
      <w:numPr>
        <w:ilvl w:val="2"/>
      </w:numPr>
      <w:outlineLvl w:val="2"/>
    </w:pPr>
    <w:rPr>
      <w:bCs/>
      <w:sz w:val="26"/>
      <w:szCs w:val="26"/>
    </w:rPr>
  </w:style>
  <w:style w:type="paragraph" w:styleId="Heading4">
    <w:name w:val="heading 4"/>
    <w:aliases w:val="H4"/>
    <w:basedOn w:val="Heading3"/>
    <w:next w:val="Normal"/>
    <w:uiPriority w:val="9"/>
    <w:qFormat/>
    <w:pPr>
      <w:numPr>
        <w:ilvl w:val="3"/>
      </w:numPr>
      <w:outlineLvl w:val="3"/>
    </w:pPr>
    <w:rPr>
      <w:bCs w:val="0"/>
      <w:sz w:val="24"/>
      <w:szCs w:val="28"/>
    </w:rPr>
  </w:style>
  <w:style w:type="paragraph" w:styleId="Heading5">
    <w:name w:val="heading 5"/>
    <w:basedOn w:val="Heading4"/>
    <w:next w:val="Normal"/>
    <w:uiPriority w:val="9"/>
    <w:qFormat/>
    <w:pPr>
      <w:numPr>
        <w:ilvl w:val="4"/>
      </w:numPr>
      <w:outlineLvl w:val="4"/>
    </w:pPr>
    <w:rPr>
      <w:bCs/>
      <w:iCs w:val="0"/>
      <w:szCs w:val="26"/>
    </w:rPr>
  </w:style>
  <w:style w:type="paragraph" w:styleId="Heading6">
    <w:name w:val="heading 6"/>
    <w:basedOn w:val="Heading5"/>
    <w:next w:val="Normal"/>
    <w:uiPriority w:val="9"/>
    <w:qFormat/>
    <w:pPr>
      <w:numPr>
        <w:ilvl w:val="5"/>
      </w:numPr>
      <w:outlineLvl w:val="5"/>
    </w:pPr>
    <w:rPr>
      <w:bCs w:val="0"/>
      <w:sz w:val="22"/>
      <w:szCs w:val="22"/>
    </w:rPr>
  </w:style>
  <w:style w:type="paragraph" w:styleId="Heading7">
    <w:name w:val="heading 7"/>
    <w:basedOn w:val="Heading6"/>
    <w:next w:val="Normal"/>
    <w:uiPriority w:val="9"/>
    <w:qFormat/>
    <w:pPr>
      <w:numPr>
        <w:ilvl w:val="6"/>
      </w:numPr>
      <w:outlineLvl w:val="6"/>
    </w:pPr>
  </w:style>
  <w:style w:type="paragraph" w:styleId="Heading8">
    <w:name w:val="heading 8"/>
    <w:basedOn w:val="Heading7"/>
    <w:next w:val="Normal"/>
    <w:uiPriority w:val="9"/>
    <w:qFormat/>
    <w:pPr>
      <w:numPr>
        <w:ilvl w:val="7"/>
      </w:numPr>
      <w:outlineLvl w:val="7"/>
    </w:pPr>
    <w:rPr>
      <w:i/>
      <w:iCs/>
    </w:r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ListParagraph">
    <w:name w:val="List Paragraph"/>
    <w:basedOn w:val="Normal"/>
    <w:uiPriority w:val="34"/>
    <w:qFormat/>
    <w:rsid w:val="00601EC9"/>
    <w:pPr>
      <w:spacing w:before="0" w:after="200" w:line="276" w:lineRule="auto"/>
      <w:ind w:left="720"/>
      <w:contextualSpacing/>
    </w:pPr>
    <w:rPr>
      <w:rFonts w:asciiTheme="minorHAnsi" w:eastAsiaTheme="minorEastAsia" w:hAnsiTheme="minorHAnsi" w:cstheme="minorBidi"/>
      <w:sz w:val="22"/>
      <w:szCs w:val="22"/>
    </w:rPr>
  </w:style>
  <w:style w:type="paragraph" w:styleId="DocumentMap">
    <w:name w:val="Document Map"/>
    <w:basedOn w:val="Normal"/>
    <w:link w:val="DocumentMapChar"/>
    <w:rsid w:val="00324582"/>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324582"/>
    <w:rPr>
      <w:rFonts w:ascii="Lucida Grande" w:hAnsi="Lucida Grande" w:cs="Lucida Grande"/>
      <w:sz w:val="24"/>
      <w:szCs w:val="24"/>
    </w:rPr>
  </w:style>
  <w:style w:type="paragraph" w:styleId="BalloonText">
    <w:name w:val="Balloon Text"/>
    <w:basedOn w:val="Normal"/>
    <w:link w:val="BalloonTextChar"/>
    <w:rsid w:val="00CD0942"/>
    <w:pPr>
      <w:spacing w:before="0" w:after="0"/>
    </w:pPr>
    <w:rPr>
      <w:rFonts w:ascii="Tahoma" w:hAnsi="Tahoma" w:cs="Tahoma"/>
      <w:sz w:val="16"/>
      <w:szCs w:val="16"/>
    </w:rPr>
  </w:style>
  <w:style w:type="character" w:customStyle="1" w:styleId="BalloonTextChar">
    <w:name w:val="Balloon Text Char"/>
    <w:basedOn w:val="DefaultParagraphFont"/>
    <w:link w:val="BalloonText"/>
    <w:rsid w:val="00CD0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uiPriority w:val="9"/>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uiPriority w:val="9"/>
    <w:qFormat/>
    <w:pPr>
      <w:numPr>
        <w:ilvl w:val="2"/>
      </w:numPr>
      <w:outlineLvl w:val="2"/>
    </w:pPr>
    <w:rPr>
      <w:bCs/>
      <w:sz w:val="26"/>
      <w:szCs w:val="26"/>
    </w:rPr>
  </w:style>
  <w:style w:type="paragraph" w:styleId="Heading4">
    <w:name w:val="heading 4"/>
    <w:aliases w:val="H4"/>
    <w:basedOn w:val="Heading3"/>
    <w:next w:val="Normal"/>
    <w:uiPriority w:val="9"/>
    <w:qFormat/>
    <w:pPr>
      <w:numPr>
        <w:ilvl w:val="3"/>
      </w:numPr>
      <w:outlineLvl w:val="3"/>
    </w:pPr>
    <w:rPr>
      <w:bCs w:val="0"/>
      <w:sz w:val="24"/>
      <w:szCs w:val="28"/>
    </w:rPr>
  </w:style>
  <w:style w:type="paragraph" w:styleId="Heading5">
    <w:name w:val="heading 5"/>
    <w:basedOn w:val="Heading4"/>
    <w:next w:val="Normal"/>
    <w:uiPriority w:val="9"/>
    <w:qFormat/>
    <w:pPr>
      <w:numPr>
        <w:ilvl w:val="4"/>
      </w:numPr>
      <w:outlineLvl w:val="4"/>
    </w:pPr>
    <w:rPr>
      <w:bCs/>
      <w:iCs w:val="0"/>
      <w:szCs w:val="26"/>
    </w:rPr>
  </w:style>
  <w:style w:type="paragraph" w:styleId="Heading6">
    <w:name w:val="heading 6"/>
    <w:basedOn w:val="Heading5"/>
    <w:next w:val="Normal"/>
    <w:uiPriority w:val="9"/>
    <w:qFormat/>
    <w:pPr>
      <w:numPr>
        <w:ilvl w:val="5"/>
      </w:numPr>
      <w:outlineLvl w:val="5"/>
    </w:pPr>
    <w:rPr>
      <w:bCs w:val="0"/>
      <w:sz w:val="22"/>
      <w:szCs w:val="22"/>
    </w:rPr>
  </w:style>
  <w:style w:type="paragraph" w:styleId="Heading7">
    <w:name w:val="heading 7"/>
    <w:basedOn w:val="Heading6"/>
    <w:next w:val="Normal"/>
    <w:uiPriority w:val="9"/>
    <w:qFormat/>
    <w:pPr>
      <w:numPr>
        <w:ilvl w:val="6"/>
      </w:numPr>
      <w:outlineLvl w:val="6"/>
    </w:pPr>
  </w:style>
  <w:style w:type="paragraph" w:styleId="Heading8">
    <w:name w:val="heading 8"/>
    <w:basedOn w:val="Heading7"/>
    <w:next w:val="Normal"/>
    <w:uiPriority w:val="9"/>
    <w:qFormat/>
    <w:pPr>
      <w:numPr>
        <w:ilvl w:val="7"/>
      </w:numPr>
      <w:outlineLvl w:val="7"/>
    </w:pPr>
    <w:rPr>
      <w:i/>
      <w:iCs/>
    </w:r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ListParagraph">
    <w:name w:val="List Paragraph"/>
    <w:basedOn w:val="Normal"/>
    <w:uiPriority w:val="34"/>
    <w:qFormat/>
    <w:rsid w:val="00601EC9"/>
    <w:pPr>
      <w:spacing w:before="0" w:after="200" w:line="276" w:lineRule="auto"/>
      <w:ind w:left="720"/>
      <w:contextualSpacing/>
    </w:pPr>
    <w:rPr>
      <w:rFonts w:asciiTheme="minorHAnsi" w:eastAsiaTheme="minorEastAsia" w:hAnsiTheme="minorHAnsi" w:cstheme="minorBidi"/>
      <w:sz w:val="22"/>
      <w:szCs w:val="22"/>
    </w:rPr>
  </w:style>
  <w:style w:type="paragraph" w:styleId="DocumentMap">
    <w:name w:val="Document Map"/>
    <w:basedOn w:val="Normal"/>
    <w:link w:val="DocumentMapChar"/>
    <w:rsid w:val="00324582"/>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324582"/>
    <w:rPr>
      <w:rFonts w:ascii="Lucida Grande" w:hAnsi="Lucida Grande" w:cs="Lucida Grande"/>
      <w:sz w:val="24"/>
      <w:szCs w:val="24"/>
    </w:rPr>
  </w:style>
  <w:style w:type="paragraph" w:styleId="BalloonText">
    <w:name w:val="Balloon Text"/>
    <w:basedOn w:val="Normal"/>
    <w:link w:val="BalloonTextChar"/>
    <w:rsid w:val="00CD0942"/>
    <w:pPr>
      <w:spacing w:before="0" w:after="0"/>
    </w:pPr>
    <w:rPr>
      <w:rFonts w:ascii="Tahoma" w:hAnsi="Tahoma" w:cs="Tahoma"/>
      <w:sz w:val="16"/>
      <w:szCs w:val="16"/>
    </w:rPr>
  </w:style>
  <w:style w:type="character" w:customStyle="1" w:styleId="BalloonTextChar">
    <w:name w:val="Balloon Text Char"/>
    <w:basedOn w:val="DefaultParagraphFont"/>
    <w:link w:val="BalloonText"/>
    <w:rsid w:val="00CD0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212381391">
      <w:bodyDiv w:val="1"/>
      <w:marLeft w:val="0"/>
      <w:marRight w:val="0"/>
      <w:marTop w:val="0"/>
      <w:marBottom w:val="0"/>
      <w:divBdr>
        <w:top w:val="none" w:sz="0" w:space="0" w:color="auto"/>
        <w:left w:val="none" w:sz="0" w:space="0" w:color="auto"/>
        <w:bottom w:val="none" w:sz="0" w:space="0" w:color="auto"/>
        <w:right w:val="none" w:sz="0" w:space="0" w:color="auto"/>
      </w:divBdr>
    </w:div>
    <w:div w:id="1458184497">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taxii/v1.1.1/cs01/part1-overview/taxii-v1.1.1-cs01-part1-overview.pdf" TargetMode="External"/><Relationship Id="rId18" Type="http://schemas.openxmlformats.org/officeDocument/2006/relationships/hyperlink" Target="http://docs.oasis-open.org/cti/taxii/v1.1.1/taxii-v1.1.1-part1-overview.html" TargetMode="External"/><Relationship Id="rId26" Type="http://schemas.openxmlformats.org/officeDocument/2006/relationships/hyperlink" Target="http://www.mitre.org/" TargetMode="External"/><Relationship Id="rId39" Type="http://schemas.openxmlformats.org/officeDocument/2006/relationships/hyperlink" Target="https://www.oasis-open.org/committees/tc_home.php?wg_abbrev=cti" TargetMode="External"/><Relationship Id="rId21" Type="http://schemas.openxmlformats.org/officeDocument/2006/relationships/hyperlink" Target="mailto:Richard.Struse@hq.dhs.gov" TargetMode="External"/><Relationship Id="rId34" Type="http://schemas.openxmlformats.org/officeDocument/2006/relationships/hyperlink" Target="http://docs.oasis-open.org/cti/taxii/v1.1.1/cs01/schemas/" TargetMode="External"/><Relationship Id="rId42" Type="http://schemas.openxmlformats.org/officeDocument/2006/relationships/hyperlink" Target="https://www.oasis-open.org/committees/cti/ipr.php" TargetMode="External"/><Relationship Id="rId47" Type="http://schemas.openxmlformats.org/officeDocument/2006/relationships/hyperlink" Target="https://www.oasis-open.org/policies-guidelines/trademark"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cti/taxii/v1.1.1/csprd01/part1-overview/taxii-v1.1.1-csprd01-part1-overview.pdf" TargetMode="External"/><Relationship Id="rId29" Type="http://schemas.openxmlformats.org/officeDocument/2006/relationships/hyperlink" Target="http://docs.oasis-open.org/cti/taxii/v1.1.1/cs01/part1-overview/taxii-v1.1.1-cs01-part1-overview.html" TargetMode="External"/><Relationship Id="rId11" Type="http://schemas.openxmlformats.org/officeDocument/2006/relationships/hyperlink" Target="http://docs.oasis-open.org/cti/taxii/v1.1.1/cs01/part1-overview/taxii-v1.1.1-cs01-part1-overview.docx" TargetMode="External"/><Relationship Id="rId24" Type="http://schemas.openxmlformats.org/officeDocument/2006/relationships/hyperlink" Target="http://www.mitre.org/" TargetMode="External"/><Relationship Id="rId32" Type="http://schemas.openxmlformats.org/officeDocument/2006/relationships/hyperlink" Target="http://docs.oasis-open.org/cti/taxii/v1.1.1/cs01/part4-xml/taxii-v1.1.1-cs01-part4-xml.html" TargetMode="External"/><Relationship Id="rId37" Type="http://schemas.openxmlformats.org/officeDocument/2006/relationships/hyperlink" Target="http://docs.oasis-open.org/cti/ns/taxii/xml/binding-1.1.1" TargetMode="External"/><Relationship Id="rId40" Type="http://schemas.openxmlformats.org/officeDocument/2006/relationships/hyperlink" Target="https://www.oasis-open.org/committees/comments/index.php?wg_abbrev=cti" TargetMode="External"/><Relationship Id="rId45" Type="http://schemas.openxmlformats.org/officeDocument/2006/relationships/hyperlink" Target="https://www.oasis-open.org/policies-guidelines/ipr" TargetMode="External"/><Relationship Id="rId53"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1.png"/><Relationship Id="rId19" Type="http://schemas.openxmlformats.org/officeDocument/2006/relationships/hyperlink" Target="http://docs.oasis-open.org/cti/taxii/v1.1.1/taxii-v1.1.1-part1-overview.pdf" TargetMode="External"/><Relationship Id="rId31" Type="http://schemas.openxmlformats.org/officeDocument/2006/relationships/hyperlink" Target="http://docs.oasis-open.org/cti/taxii/v1.1.1/cs01/part3-http/taxii-v1.1.1-cs01-part3-http.html" TargetMode="External"/><Relationship Id="rId44" Type="http://schemas.openxmlformats.org/officeDocument/2006/relationships/hyperlink" Target="http://docs.oasis-open.org/cti/taxii/v1.1.1/taxii-v1.1.1-part1-overview.html" TargetMode="External"/><Relationship Id="rId52"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www.oasis-open.org/" TargetMode="External"/><Relationship Id="rId14" Type="http://schemas.openxmlformats.org/officeDocument/2006/relationships/hyperlink" Target="http://docs.oasis-open.org/cti/taxii/v1.1.1/csprd01/part1-overview/taxii-v1.1.1-csprd01-part1-overview.docx" TargetMode="External"/><Relationship Id="rId22" Type="http://schemas.openxmlformats.org/officeDocument/2006/relationships/hyperlink" Target="http://www.dhs.gov/office-cybersecurity-and-communications" TargetMode="External"/><Relationship Id="rId27" Type="http://schemas.openxmlformats.org/officeDocument/2006/relationships/hyperlink" Target="mailto:bret.jordan@bluecoat.com" TargetMode="External"/><Relationship Id="rId30" Type="http://schemas.openxmlformats.org/officeDocument/2006/relationships/hyperlink" Target="http://docs.oasis-open.org/cti/taxii/v1.1.1/cs01/part2-services/taxii-v1.1.1-cs01-part2-services.html" TargetMode="External"/><Relationship Id="rId35" Type="http://schemas.openxmlformats.org/officeDocument/2006/relationships/hyperlink" Target="http://taxiiproject.github.io/releases/1.1/TAXII_Overview.pdf" TargetMode="External"/><Relationship Id="rId43" Type="http://schemas.openxmlformats.org/officeDocument/2006/relationships/hyperlink" Target="http://docs.oasis-open.org/cti/taxii/v1.1.1/cs01/part1-overview/taxii-v1.1.1-cs01-part1-overview.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docs.oasis-open.org/cti/taxii/v1.1.1/cs01/part1-overview/taxii-v1.1.1-cs01-part1-overview.html" TargetMode="External"/><Relationship Id="rId17" Type="http://schemas.openxmlformats.org/officeDocument/2006/relationships/hyperlink" Target="http://docs.oasis-open.org/cti/taxii/v1.1.1/taxii-v1.1.1-part1-overview.docx" TargetMode="External"/><Relationship Id="rId25" Type="http://schemas.openxmlformats.org/officeDocument/2006/relationships/hyperlink" Target="mailto:cmschmidt@mitre.org" TargetMode="External"/><Relationship Id="rId33" Type="http://schemas.openxmlformats.org/officeDocument/2006/relationships/hyperlink" Target="http://docs.oasis-open.org/cti/taxii/v1.1.1/cs01/part5-query/taxii-v1.1.1-cs01-part5-query.html" TargetMode="External"/><Relationship Id="rId38" Type="http://schemas.openxmlformats.org/officeDocument/2006/relationships/hyperlink" Target="http://docs.oasis-open.org/cti/ns/taxii/default-query-1.1.1" TargetMode="External"/><Relationship Id="rId46" Type="http://schemas.openxmlformats.org/officeDocument/2006/relationships/hyperlink" Target="https://www.oasis-open.org/" TargetMode="External"/><Relationship Id="rId20" Type="http://schemas.openxmlformats.org/officeDocument/2006/relationships/hyperlink" Target="https://www.oasis-open.org/committees/cti/" TargetMode="External"/><Relationship Id="rId41" Type="http://schemas.openxmlformats.org/officeDocument/2006/relationships/hyperlink" Target="https://www.oasis-open.org/committees/ct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cti/taxii/v1.1.1/csprd01/part1-overview/taxii-v1.1.1-csprd01-part1-overview.html" TargetMode="External"/><Relationship Id="rId23" Type="http://schemas.openxmlformats.org/officeDocument/2006/relationships/hyperlink" Target="mailto:mdavidson@mitre.org" TargetMode="External"/><Relationship Id="rId28" Type="http://schemas.openxmlformats.org/officeDocument/2006/relationships/hyperlink" Target="http://www.bluecoat.com/" TargetMode="External"/><Relationship Id="rId36" Type="http://schemas.openxmlformats.org/officeDocument/2006/relationships/hyperlink" Target="http://taxiiproject.github.io/releases/1.1/TAXII_ContentBinding_Reference_v3.pdf"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2EBB-BB74-4106-BE1C-7FA318AF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21</TotalTime>
  <Pages>17</Pages>
  <Words>5141</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TAXII Version 1.1.1. Part 1: Overview</vt:lpstr>
    </vt:vector>
  </TitlesOfParts>
  <Company/>
  <LinksUpToDate>false</LinksUpToDate>
  <CharactersWithSpaces>34377</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TAXII Version 1.1.1. Part 1: Overview</dc:title>
  <dc:creator>OASIS Cyber Threat Intelligence (CTI) TC</dc:creator>
  <dc:description>This document provides an overview of TAXII.</dc:description>
  <cp:lastModifiedBy>Paul</cp:lastModifiedBy>
  <cp:revision>17</cp:revision>
  <cp:lastPrinted>2016-05-11T16:45:00Z</cp:lastPrinted>
  <dcterms:created xsi:type="dcterms:W3CDTF">2016-01-12T19:52:00Z</dcterms:created>
  <dcterms:modified xsi:type="dcterms:W3CDTF">2016-05-26T19:50:00Z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